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05" w:rsidRPr="00950805" w:rsidRDefault="00F70CC1" w:rsidP="00950805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50805">
        <w:rPr>
          <w:rFonts w:ascii="Times New Roman" w:hAnsi="Times New Roman"/>
          <w:sz w:val="24"/>
          <w:szCs w:val="24"/>
        </w:rPr>
        <w:t>Додаток 7</w:t>
      </w:r>
      <w:r w:rsidR="00950805" w:rsidRPr="00950805">
        <w:rPr>
          <w:rFonts w:ascii="Times New Roman" w:hAnsi="Times New Roman"/>
          <w:sz w:val="24"/>
          <w:szCs w:val="24"/>
        </w:rPr>
        <w:t xml:space="preserve"> до рішення сесії</w:t>
      </w:r>
      <w:r w:rsidR="00950805" w:rsidRPr="0095080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="00950805" w:rsidRPr="00950805">
        <w:rPr>
          <w:rFonts w:ascii="Times New Roman" w:hAnsi="Times New Roman"/>
          <w:sz w:val="24"/>
          <w:szCs w:val="24"/>
        </w:rPr>
        <w:t xml:space="preserve"> Теплицької сільської ради </w:t>
      </w:r>
      <w:r w:rsidR="00950805" w:rsidRPr="0095080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950805" w:rsidRPr="00950805">
        <w:rPr>
          <w:rFonts w:ascii="Times New Roman" w:hAnsi="Times New Roman"/>
          <w:sz w:val="24"/>
          <w:szCs w:val="24"/>
        </w:rPr>
        <w:t>від 14.07.2025р. №1075-</w:t>
      </w:r>
      <w:r w:rsidR="00950805" w:rsidRPr="00950805">
        <w:rPr>
          <w:rFonts w:ascii="Times New Roman" w:hAnsi="Times New Roman"/>
          <w:sz w:val="24"/>
          <w:szCs w:val="24"/>
          <w:lang w:val="en-US"/>
        </w:rPr>
        <w:t>VIII</w:t>
      </w:r>
    </w:p>
    <w:p w:rsidR="00F70CC1" w:rsidRDefault="00F70CC1" w:rsidP="00636258">
      <w:pPr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W w:w="4318" w:type="pct"/>
        <w:tblInd w:w="2028" w:type="dxa"/>
        <w:tblLook w:val="04A0"/>
      </w:tblPr>
      <w:tblGrid>
        <w:gridCol w:w="7283"/>
        <w:gridCol w:w="885"/>
      </w:tblGrid>
      <w:tr w:rsidR="00F70CC1" w:rsidRPr="0069450C" w:rsidTr="00BD2338">
        <w:trPr>
          <w:trHeight w:val="607"/>
        </w:trPr>
        <w:tc>
          <w:tcPr>
            <w:tcW w:w="4458" w:type="pct"/>
            <w:vMerge w:val="restart"/>
            <w:shd w:val="clear" w:color="auto" w:fill="auto"/>
          </w:tcPr>
          <w:p w:rsidR="00F70CC1" w:rsidRDefault="00F70CC1" w:rsidP="00BD2338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Додаток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7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до Порядку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(в редакції постанови </w:t>
            </w:r>
          </w:p>
          <w:p w:rsidR="00F70CC1" w:rsidRPr="0069450C" w:rsidRDefault="00F70CC1" w:rsidP="00BD2338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Кабінету Міністрів України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  </w:t>
            </w:r>
            <w:r w:rsidR="00950805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від 18 жовтня 2024 р. № 1191)</w:t>
            </w:r>
          </w:p>
        </w:tc>
        <w:tc>
          <w:tcPr>
            <w:tcW w:w="542" w:type="pct"/>
            <w:shd w:val="clear" w:color="auto" w:fill="auto"/>
          </w:tcPr>
          <w:p w:rsidR="00F70CC1" w:rsidRPr="0069450C" w:rsidRDefault="00F70CC1" w:rsidP="00BD2338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</w:tbl>
    <w:p w:rsidR="00F70CC1" w:rsidRDefault="00F70CC1"/>
    <w:p w:rsidR="007877B1" w:rsidRPr="00F70CC1" w:rsidRDefault="007877B1" w:rsidP="00DF5706">
      <w:pPr>
        <w:pStyle w:val="ae"/>
        <w:shd w:val="clear" w:color="auto" w:fill="FFFFFF"/>
        <w:spacing w:before="480" w:after="360"/>
        <w:rPr>
          <w:rFonts w:ascii="Times New Roman" w:hAnsi="Times New Roman"/>
          <w:bCs/>
          <w:noProof/>
          <w:sz w:val="24"/>
          <w:szCs w:val="24"/>
          <w:lang w:val="ru-RU" w:eastAsia="uk-UA"/>
        </w:rPr>
      </w:pPr>
      <w:bookmarkStart w:id="0" w:name="_GoBack"/>
      <w:r w:rsidRPr="00F70CC1">
        <w:rPr>
          <w:rFonts w:ascii="Times New Roman" w:hAnsi="Times New Roman"/>
          <w:bCs/>
          <w:noProof/>
          <w:sz w:val="24"/>
          <w:szCs w:val="24"/>
          <w:lang w:val="ru-RU" w:eastAsia="uk-UA"/>
        </w:rPr>
        <w:t xml:space="preserve">СТАВКИ </w:t>
      </w:r>
      <w:r w:rsidRPr="00F70CC1">
        <w:rPr>
          <w:rFonts w:ascii="Times New Roman" w:hAnsi="Times New Roman"/>
          <w:bCs/>
          <w:noProof/>
          <w:sz w:val="24"/>
          <w:szCs w:val="24"/>
          <w:lang w:val="ru-RU" w:eastAsia="uk-UA"/>
        </w:rPr>
        <w:br/>
        <w:t xml:space="preserve">збору за місця для паркування транспортних засобів та перелік пільг, наданих </w:t>
      </w:r>
      <w:r w:rsidR="00D3542D" w:rsidRPr="00F70CC1">
        <w:rPr>
          <w:rFonts w:ascii="Times New Roman" w:hAnsi="Times New Roman"/>
          <w:bCs/>
          <w:noProof/>
          <w:sz w:val="24"/>
          <w:szCs w:val="24"/>
          <w:lang w:val="ru-RU" w:eastAsia="uk-UA"/>
        </w:rPr>
        <w:t xml:space="preserve">за </w:t>
      </w:r>
      <w:r w:rsidRPr="00F70CC1">
        <w:rPr>
          <w:rFonts w:ascii="Times New Roman" w:hAnsi="Times New Roman"/>
          <w:bCs/>
          <w:noProof/>
          <w:sz w:val="24"/>
          <w:szCs w:val="24"/>
          <w:lang w:val="ru-RU" w:eastAsia="uk-UA"/>
        </w:rPr>
        <w:t>рішенням органу місцевого самоврядування</w:t>
      </w: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7877B1" w:rsidRPr="00F70CC1" w:rsidTr="007877B1">
        <w:trPr>
          <w:trHeight w:val="375"/>
        </w:trPr>
        <w:tc>
          <w:tcPr>
            <w:tcW w:w="2283" w:type="dxa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F70CC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r w:rsidR="0040489E" w:rsidRPr="00F70CC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  <w:t>1558400000</w:t>
            </w:r>
          </w:p>
        </w:tc>
      </w:tr>
    </w:tbl>
    <w:p w:rsidR="009C3510" w:rsidRPr="00F70CC1" w:rsidRDefault="009C3510" w:rsidP="001E7C89">
      <w:pPr>
        <w:pStyle w:val="a5"/>
        <w:shd w:val="clear" w:color="auto" w:fill="FFFFFF"/>
        <w:ind w:firstLine="0"/>
        <w:jc w:val="both"/>
        <w:rPr>
          <w:rFonts w:ascii="Times New Roman" w:hAnsi="Times New Roman"/>
          <w:noProof/>
          <w:sz w:val="24"/>
          <w:szCs w:val="24"/>
          <w:lang w:val="en-AU" w:eastAsia="uk-UA"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27"/>
        <w:gridCol w:w="1143"/>
        <w:gridCol w:w="1143"/>
        <w:gridCol w:w="1263"/>
        <w:gridCol w:w="1463"/>
        <w:gridCol w:w="1051"/>
        <w:gridCol w:w="1542"/>
        <w:gridCol w:w="1663"/>
      </w:tblGrid>
      <w:tr w:rsidR="00974270" w:rsidRPr="00F70CC1" w:rsidTr="00241690">
        <w:trPr>
          <w:trHeight w:val="317"/>
        </w:trPr>
        <w:tc>
          <w:tcPr>
            <w:tcW w:w="1915" w:type="pct"/>
            <w:gridSpan w:val="4"/>
            <w:vMerge w:val="restar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1797" w:type="pct"/>
            <w:gridSpan w:val="3"/>
            <w:vMerge w:val="restar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1288" w:type="pct"/>
            <w:gridSpan w:val="2"/>
            <w:vMerge w:val="restar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 для яких встановлені ставки та пільги</w:t>
            </w:r>
          </w:p>
        </w:tc>
      </w:tr>
      <w:tr w:rsidR="00974270" w:rsidRPr="00F70CC1" w:rsidTr="00241690">
        <w:trPr>
          <w:trHeight w:val="317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797" w:type="pct"/>
            <w:gridSpan w:val="3"/>
            <w:vMerge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288" w:type="pct"/>
            <w:gridSpan w:val="2"/>
            <w:vMerge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97427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360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568" w:type="pct"/>
            <w:shd w:val="clear" w:color="auto" w:fill="FFFFFF"/>
            <w:vAlign w:val="center"/>
            <w:hideMark/>
          </w:tcPr>
          <w:p w:rsidR="000839BE" w:rsidRPr="00F70CC1" w:rsidRDefault="000839BE" w:rsidP="000A1CE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568" w:type="pc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застосо-вуються ставки та пільги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0839BE" w:rsidRPr="00F70CC1" w:rsidRDefault="000839BE" w:rsidP="000A1CE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</w:t>
            </w:r>
            <w:r w:rsidR="00095A57"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0341C0"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згідно з 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</w:p>
        </w:tc>
        <w:tc>
          <w:tcPr>
            <w:tcW w:w="696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назва            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0839BE" w:rsidRPr="00F70CC1" w:rsidRDefault="000839BE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095A57"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згідно з ЄДРПОУ</w:t>
            </w:r>
          </w:p>
        </w:tc>
        <w:tc>
          <w:tcPr>
            <w:tcW w:w="732" w:type="pct"/>
            <w:shd w:val="clear" w:color="auto" w:fill="FFFFFF"/>
            <w:noWrap/>
            <w:vAlign w:val="center"/>
            <w:hideMark/>
          </w:tcPr>
          <w:p w:rsidR="000839BE" w:rsidRPr="00F70CC1" w:rsidRDefault="000341C0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згідно 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>з</w:t>
            </w:r>
            <w:r w:rsidR="000839BE"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 КАТОТТГ</w:t>
            </w:r>
            <w:r w:rsidR="000839BE"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97427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360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568" w:type="pc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68" w:type="pct"/>
            <w:shd w:val="clear" w:color="auto" w:fill="FFFFFF"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576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696" w:type="pct"/>
            <w:shd w:val="clear" w:color="auto" w:fill="FFFFFF"/>
            <w:noWrap/>
            <w:vAlign w:val="center"/>
            <w:hideMark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0839BE" w:rsidRPr="00F70CC1" w:rsidRDefault="000839B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24169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 w:val="restar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5120485900</w:t>
            </w:r>
          </w:p>
        </w:tc>
        <w:tc>
          <w:tcPr>
            <w:tcW w:w="696" w:type="pct"/>
            <w:vMerge w:val="restart"/>
            <w:shd w:val="clear" w:color="auto" w:fill="FFFFFF"/>
            <w:noWrap/>
            <w:vAlign w:val="center"/>
          </w:tcPr>
          <w:p w:rsidR="00241690" w:rsidRPr="00F70CC1" w:rsidRDefault="00241690" w:rsidP="0024169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241690" w:rsidRPr="00F70CC1" w:rsidRDefault="00241690" w:rsidP="00241690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525" w:type="pct"/>
            <w:vMerge w:val="restar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04377428</w:t>
            </w: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241690" w:rsidRPr="00F70CC1" w:rsidRDefault="00241690" w:rsidP="00241690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41690" w:rsidRPr="00F70CC1" w:rsidRDefault="00241690" w:rsidP="00241690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30088083</w:t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241690" w:rsidRPr="00F70CC1" w:rsidRDefault="00E9077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Мирнопілля</w:t>
            </w:r>
          </w:p>
        </w:tc>
      </w:tr>
      <w:tr w:rsidR="0024169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E90772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41690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10010897</w:t>
            </w: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241690" w:rsidRPr="00F70CC1" w:rsidRDefault="00E9077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  <w:t>Теплиця</w:t>
            </w:r>
          </w:p>
        </w:tc>
      </w:tr>
      <w:tr w:rsidR="0024169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E90772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41690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50011966</w:t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241690" w:rsidRPr="00F70CC1" w:rsidRDefault="00E9077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Садове</w:t>
            </w:r>
          </w:p>
        </w:tc>
      </w:tr>
      <w:tr w:rsidR="0024169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E90772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41690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20067816</w:t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241690" w:rsidRPr="00F70CC1" w:rsidRDefault="00E9077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Веселий Кут</w:t>
            </w:r>
          </w:p>
        </w:tc>
      </w:tr>
      <w:tr w:rsidR="00241690" w:rsidRPr="00F70CC1" w:rsidTr="00241690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6" w:type="pct"/>
            <w:vMerge/>
            <w:shd w:val="clear" w:color="auto" w:fill="FFFFFF"/>
            <w:noWrap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241690" w:rsidRPr="00F70CC1" w:rsidRDefault="0024169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shd w:val="clear" w:color="auto" w:fill="FFFFFF"/>
            <w:noWrap/>
            <w:vAlign w:val="center"/>
          </w:tcPr>
          <w:p w:rsidR="00E90772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41690" w:rsidRPr="00F70CC1" w:rsidRDefault="00E90772" w:rsidP="00E90772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40061775</w:t>
            </w:r>
          </w:p>
        </w:tc>
        <w:tc>
          <w:tcPr>
            <w:tcW w:w="556" w:type="pct"/>
            <w:shd w:val="clear" w:color="auto" w:fill="FFFFFF"/>
            <w:noWrap/>
            <w:vAlign w:val="center"/>
          </w:tcPr>
          <w:p w:rsidR="00241690" w:rsidRPr="00F70CC1" w:rsidRDefault="00E9077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Новий Париж</w:t>
            </w:r>
          </w:p>
        </w:tc>
      </w:tr>
    </w:tbl>
    <w:p w:rsidR="000839BE" w:rsidRPr="00F70CC1" w:rsidRDefault="000839BE" w:rsidP="001E7C89">
      <w:pPr>
        <w:pStyle w:val="a5"/>
        <w:shd w:val="clear" w:color="auto" w:fill="FFFFFF"/>
        <w:ind w:firstLine="0"/>
        <w:jc w:val="both"/>
        <w:rPr>
          <w:rFonts w:ascii="Times New Roman" w:hAnsi="Times New Roman"/>
          <w:noProof/>
          <w:sz w:val="24"/>
          <w:szCs w:val="24"/>
          <w:lang w:val="en-AU" w:eastAsia="uk-UA"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579"/>
        <w:gridCol w:w="4509"/>
        <w:gridCol w:w="2238"/>
      </w:tblGrid>
      <w:tr w:rsidR="007877B1" w:rsidRPr="00F70CC1" w:rsidTr="00900515">
        <w:trPr>
          <w:trHeight w:val="20"/>
          <w:tblHeader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Код виду місця для паркування</w:t>
            </w:r>
            <w:r w:rsidR="000839BE" w:rsidRPr="00F70CC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0839BE" w:rsidRPr="00F70CC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(за наявності)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D3542D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Найменування виду місця</w:t>
            </w:r>
            <w:r w:rsidR="007877B1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для паркування, категорія пільг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D3542D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Ставки</w:t>
            </w:r>
            <w:r w:rsidR="007877B1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збору, розмір пільги, відсотків</w:t>
            </w:r>
          </w:p>
        </w:tc>
      </w:tr>
      <w:tr w:rsidR="007877B1" w:rsidRPr="00F70CC1" w:rsidTr="00900515">
        <w:trPr>
          <w:trHeight w:val="20"/>
          <w:tblHeader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342D2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Ставки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8485F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0,07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комунальні гаражі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8485F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0,07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стоянки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8485F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0,07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паркінги (будівлі, споруди, їх частини)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8485F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0,07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інше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1.5.1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1.5.n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974270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Пільги (відсотк</w:t>
            </w:r>
            <w:r w:rsidR="000A1CEE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ів</w:t>
            </w: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до ставки збору)</w:t>
            </w:r>
            <w:r w:rsidR="000839BE" w:rsidRPr="00F70CC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6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</w:p>
        </w:tc>
        <w:tc>
          <w:tcPr>
            <w:tcW w:w="4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групи платників (за наявності)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2.1.n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</w:t>
            </w:r>
          </w:p>
        </w:tc>
        <w:tc>
          <w:tcPr>
            <w:tcW w:w="4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за </w:t>
            </w:r>
            <w:r w:rsidR="00DE18C6"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видами</w:t>
            </w:r>
            <w:r w:rsidRPr="00F70CC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місць для паркування (за наявності)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F70CC1" w:rsidTr="00900515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2.2.n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F70CC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F70CC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7877B1" w:rsidRPr="00F70CC1" w:rsidRDefault="00095A57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  <w:r w:rsidRPr="00F70CC1">
        <w:rPr>
          <w:rFonts w:ascii="Times New Roman" w:hAnsi="Times New Roman"/>
          <w:noProof/>
          <w:sz w:val="24"/>
          <w:szCs w:val="24"/>
          <w:lang w:val="en-AU"/>
        </w:rPr>
        <w:t>__</w:t>
      </w:r>
      <w:r w:rsidR="007877B1" w:rsidRPr="00F70CC1">
        <w:rPr>
          <w:rFonts w:ascii="Times New Roman" w:hAnsi="Times New Roman"/>
          <w:noProof/>
          <w:sz w:val="24"/>
          <w:szCs w:val="24"/>
          <w:lang w:val="en-AU"/>
        </w:rPr>
        <w:t>_</w:t>
      </w:r>
      <w:r w:rsidR="000A1CEE" w:rsidRPr="00F70CC1">
        <w:rPr>
          <w:rFonts w:ascii="Times New Roman" w:hAnsi="Times New Roman"/>
          <w:noProof/>
          <w:sz w:val="24"/>
          <w:szCs w:val="24"/>
          <w:lang w:val="en-AU"/>
        </w:rPr>
        <w:t>_</w:t>
      </w:r>
      <w:r w:rsidR="007877B1" w:rsidRPr="00F70CC1">
        <w:rPr>
          <w:rFonts w:ascii="Times New Roman" w:hAnsi="Times New Roman"/>
          <w:noProof/>
          <w:sz w:val="24"/>
          <w:szCs w:val="24"/>
          <w:lang w:val="en-AU"/>
        </w:rPr>
        <w:t>__</w:t>
      </w:r>
    </w:p>
    <w:p w:rsidR="000341C0" w:rsidRPr="00636258" w:rsidRDefault="000341C0" w:rsidP="00A8552E">
      <w:pPr>
        <w:shd w:val="clear" w:color="auto" w:fill="FFFFFF"/>
        <w:ind w:left="1022" w:right="-539" w:hanging="1022"/>
        <w:jc w:val="both"/>
        <w:rPr>
          <w:rFonts w:ascii="Times New Roman" w:hAnsi="Times New Roman"/>
          <w:noProof/>
          <w:sz w:val="20"/>
          <w:lang w:val="ru-RU"/>
        </w:rPr>
      </w:pPr>
      <w:r w:rsidRPr="00636258">
        <w:rPr>
          <w:rFonts w:ascii="Times New Roman" w:hAnsi="Times New Roman"/>
          <w:noProof/>
          <w:sz w:val="20"/>
          <w:lang w:val="ru-RU"/>
        </w:rPr>
        <w:t xml:space="preserve">Примітка. КАТОТТГ </w:t>
      </w:r>
      <w:r w:rsidR="00900515" w:rsidRPr="00636258">
        <w:rPr>
          <w:rFonts w:ascii="Times New Roman" w:hAnsi="Times New Roman"/>
          <w:noProof/>
          <w:sz w:val="20"/>
          <w:lang w:val="ru-RU"/>
        </w:rPr>
        <w:t>-</w:t>
      </w:r>
      <w:r w:rsidRPr="00636258">
        <w:rPr>
          <w:rFonts w:ascii="Times New Roman" w:hAnsi="Times New Roman"/>
          <w:noProof/>
          <w:sz w:val="20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CF3571" w:rsidRPr="00636258">
        <w:rPr>
          <w:rFonts w:ascii="Times New Roman" w:hAnsi="Times New Roman"/>
          <w:noProof/>
          <w:sz w:val="20"/>
          <w:lang w:val="ru-RU"/>
        </w:rPr>
        <w:t>від 26 листопада 2020 р. № 290.</w:t>
      </w:r>
    </w:p>
    <w:tbl>
      <w:tblPr>
        <w:tblW w:w="5310" w:type="pct"/>
        <w:tblInd w:w="-34" w:type="dxa"/>
        <w:tblLook w:val="04A0"/>
      </w:tblPr>
      <w:tblGrid>
        <w:gridCol w:w="293"/>
        <w:gridCol w:w="9751"/>
      </w:tblGrid>
      <w:tr w:rsidR="00D83FD2" w:rsidRPr="00636258" w:rsidTr="00900515">
        <w:trPr>
          <w:trHeight w:val="20"/>
        </w:trPr>
        <w:tc>
          <w:tcPr>
            <w:tcW w:w="146" w:type="pct"/>
            <w:hideMark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</w:t>
            </w: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br/>
              <w:t>№ 163).</w:t>
            </w:r>
          </w:p>
        </w:tc>
      </w:tr>
      <w:tr w:rsidR="00D83FD2" w:rsidRPr="00636258" w:rsidTr="00900515">
        <w:trPr>
          <w:trHeight w:val="20"/>
        </w:trPr>
        <w:tc>
          <w:tcPr>
            <w:tcW w:w="146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а також податкові пільги з їх сплати,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Як дата, з якої застосовуються ставки та пільги, зазначається дата, визначена в рішенні (у “базовому” рішенні</w:t>
            </w:r>
            <w:r w:rsidR="000A1CEE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,</w:t>
            </w:r>
            <w:r w:rsidR="00900515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якщо зміни до нього не вносилися, або у рішенні, яким вносилися зміни щодо ставок та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83FD2" w:rsidRPr="00636258" w:rsidTr="00900515">
        <w:trPr>
          <w:trHeight w:val="20"/>
        </w:trPr>
        <w:tc>
          <w:tcPr>
            <w:tcW w:w="146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83FD2" w:rsidRPr="00636258" w:rsidTr="00900515">
        <w:trPr>
          <w:trHeight w:val="20"/>
        </w:trPr>
        <w:tc>
          <w:tcPr>
            <w:tcW w:w="146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D83FD2" w:rsidRPr="00636258" w:rsidTr="00900515">
        <w:trPr>
          <w:trHeight w:val="20"/>
        </w:trPr>
        <w:tc>
          <w:tcPr>
            <w:tcW w:w="146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Додатковий код зазначається у разі необхідності для певного коду виду місця для паркування</w:t>
            </w:r>
            <w:r w:rsidR="00342D2B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 транспортних засобів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встановити додаткову ставку (наприклад, ставку для місць, які мають певні ознаки або умови використання, або ставку, яка поряд з основною ставкою діє протягом обмеженого періоду). У такому разі за рядком з потрібним кодом виду місця для паркування додається новий рядок, у графі “Код виду місця для паркування” зазначається такий самий код виду місця для паркування, у графі “Додатковий код” </w:t>
            </w:r>
            <w:r w:rsidR="00900515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код у цифровому форматі “хх” починаючи з 01, у графі “Види місць для паркування, категорія пільг” зазначається опис особливостей, згідно з якими встановлюється окрема ставка. Для додаткових рядків заповнення графи “Код виду місця для паркування” обов’язкове.</w:t>
            </w:r>
          </w:p>
        </w:tc>
      </w:tr>
      <w:tr w:rsidR="00D83FD2" w:rsidRPr="00636258" w:rsidTr="00900515">
        <w:trPr>
          <w:trHeight w:val="20"/>
        </w:trPr>
        <w:tc>
          <w:tcPr>
            <w:tcW w:w="146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  <w:tc>
          <w:tcPr>
            <w:tcW w:w="4854" w:type="pct"/>
          </w:tcPr>
          <w:p w:rsidR="00D83FD2" w:rsidRPr="00636258" w:rsidRDefault="00D83FD2" w:rsidP="00950805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Пільги визначаються з урахуванням норм підпункту 12.3.7 пункту 12.3 статті 12, 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br/>
              <w:t xml:space="preserve">пункту 30.2 статті 30 Податкового кодексу України. Зазначається </w:t>
            </w:r>
            <w:r w:rsidR="000A1CEE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кількість </w:t>
            </w:r>
            <w:r w:rsidR="00BE5E8F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відсотків, на яку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зменшується розмір ставки збору</w:t>
            </w:r>
            <w:r w:rsidR="00342D2B"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за місця для паркування транспортних засобів</w:t>
            </w:r>
            <w:r w:rsidRPr="00636258">
              <w:rPr>
                <w:rFonts w:ascii="Times New Roman" w:hAnsi="Times New Roman"/>
                <w:noProof/>
                <w:sz w:val="20"/>
                <w:lang w:val="ru-RU" w:eastAsia="uk-UA"/>
              </w:rPr>
              <w:t>.</w:t>
            </w:r>
          </w:p>
        </w:tc>
      </w:tr>
    </w:tbl>
    <w:p w:rsidR="00095A57" w:rsidRPr="00636258" w:rsidRDefault="00095A57" w:rsidP="00095A57">
      <w:pPr>
        <w:shd w:val="clear" w:color="auto" w:fill="FFFFFF"/>
        <w:rPr>
          <w:rFonts w:ascii="Times New Roman" w:hAnsi="Times New Roman"/>
          <w:noProof/>
          <w:vanish/>
          <w:sz w:val="20"/>
          <w:lang w:val="en-AU"/>
        </w:rPr>
      </w:pPr>
    </w:p>
    <w:tbl>
      <w:tblPr>
        <w:tblpPr w:leftFromText="180" w:rightFromText="180" w:vertAnchor="text" w:horzAnchor="margin" w:tblpY="41"/>
        <w:tblW w:w="5292" w:type="pct"/>
        <w:tblLayout w:type="fixed"/>
        <w:tblLook w:val="04A0"/>
      </w:tblPr>
      <w:tblGrid>
        <w:gridCol w:w="4152"/>
        <w:gridCol w:w="1716"/>
        <w:gridCol w:w="4142"/>
      </w:tblGrid>
      <w:tr w:rsidR="00095A57" w:rsidRPr="00636258" w:rsidTr="00900515">
        <w:trPr>
          <w:trHeight w:val="390"/>
        </w:trPr>
        <w:tc>
          <w:tcPr>
            <w:tcW w:w="2074" w:type="pct"/>
            <w:hideMark/>
          </w:tcPr>
          <w:p w:rsidR="00095A57" w:rsidRPr="00636258" w:rsidRDefault="00095A57" w:rsidP="00D83FD2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>Керівник/уповноважена особа</w:t>
            </w:r>
          </w:p>
        </w:tc>
        <w:tc>
          <w:tcPr>
            <w:tcW w:w="857" w:type="pct"/>
            <w:hideMark/>
          </w:tcPr>
          <w:p w:rsidR="00095A57" w:rsidRPr="00636258" w:rsidRDefault="00950805" w:rsidP="00D83FD2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 xml:space="preserve">      </w:t>
            </w:r>
            <w:r w:rsidR="00095A57"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>__________</w:t>
            </w:r>
          </w:p>
          <w:p w:rsidR="00095A57" w:rsidRPr="00636258" w:rsidRDefault="00095A57" w:rsidP="00D83FD2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36258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2069" w:type="pct"/>
            <w:noWrap/>
            <w:hideMark/>
          </w:tcPr>
          <w:p w:rsidR="00095A57" w:rsidRPr="00950805" w:rsidRDefault="00950805" w:rsidP="00D83FD2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Іван ЛЕОНТЬЄВ</w:t>
            </w:r>
          </w:p>
          <w:p w:rsidR="00095A57" w:rsidRPr="00950805" w:rsidRDefault="00095A57" w:rsidP="00D83FD2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950805">
              <w:rPr>
                <w:rFonts w:ascii="Times New Roman" w:hAnsi="Times New Roman"/>
                <w:noProof/>
                <w:sz w:val="20"/>
                <w:lang w:val="ru-RU" w:eastAsia="uk-UA"/>
              </w:rPr>
              <w:t>(власне ім’я, прізвище)</w:t>
            </w:r>
          </w:p>
        </w:tc>
      </w:tr>
    </w:tbl>
    <w:p w:rsidR="00DF5FBC" w:rsidRPr="00636258" w:rsidRDefault="00DF5FBC" w:rsidP="00DF5FBC">
      <w:pPr>
        <w:rPr>
          <w:rFonts w:ascii="Times New Roman" w:hAnsi="Times New Roman"/>
          <w:sz w:val="20"/>
          <w:lang w:val="ru-RU"/>
        </w:rPr>
      </w:pPr>
      <w:r w:rsidRPr="00636258">
        <w:rPr>
          <w:rStyle w:val="st46"/>
          <w:rFonts w:ascii="Times New Roman" w:hAnsi="Times New Roman"/>
          <w:color w:val="auto"/>
          <w:sz w:val="20"/>
        </w:rPr>
        <w:t xml:space="preserve">{Додаток 7 в редакції Постанови КМ </w:t>
      </w:r>
      <w:r w:rsidRPr="00636258">
        <w:rPr>
          <w:rStyle w:val="st131"/>
          <w:rFonts w:ascii="Times New Roman" w:hAnsi="Times New Roman"/>
          <w:color w:val="auto"/>
          <w:sz w:val="20"/>
        </w:rPr>
        <w:t>№ 1191 від 18.10.2024</w:t>
      </w:r>
      <w:r w:rsidRPr="00636258">
        <w:rPr>
          <w:rStyle w:val="st46"/>
          <w:rFonts w:ascii="Times New Roman" w:hAnsi="Times New Roman"/>
          <w:color w:val="auto"/>
          <w:sz w:val="20"/>
        </w:rPr>
        <w:t>}</w:t>
      </w:r>
      <w:bookmarkEnd w:id="0"/>
    </w:p>
    <w:sectPr w:rsidR="00DF5FBC" w:rsidRPr="00636258" w:rsidSect="00900515">
      <w:headerReference w:type="even" r:id="rId7"/>
      <w:pgSz w:w="11907" w:h="16840" w:code="9"/>
      <w:pgMar w:top="1134" w:right="1531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AA" w:rsidRDefault="004610AA">
      <w:r>
        <w:separator/>
      </w:r>
    </w:p>
  </w:endnote>
  <w:endnote w:type="continuationSeparator" w:id="1">
    <w:p w:rsidR="004610AA" w:rsidRDefault="0046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AA" w:rsidRDefault="004610AA">
      <w:r>
        <w:separator/>
      </w:r>
    </w:p>
  </w:footnote>
  <w:footnote w:type="continuationSeparator" w:id="1">
    <w:p w:rsidR="004610AA" w:rsidRDefault="00461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174AAB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A6AE6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74AA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1F6BE1"/>
    <w:rsid w:val="002076AD"/>
    <w:rsid w:val="00210F96"/>
    <w:rsid w:val="002326C4"/>
    <w:rsid w:val="00241690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968B2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3863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89E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10AA"/>
    <w:rsid w:val="004637F2"/>
    <w:rsid w:val="00465FF4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17C3E"/>
    <w:rsid w:val="0062145D"/>
    <w:rsid w:val="006238C1"/>
    <w:rsid w:val="00633D2A"/>
    <w:rsid w:val="0063408E"/>
    <w:rsid w:val="00636258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A490B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0F31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372D9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0515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805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52E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1269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044D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57F2"/>
    <w:rsid w:val="00C8291D"/>
    <w:rsid w:val="00C91047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683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E5A56"/>
    <w:rsid w:val="00DF44BA"/>
    <w:rsid w:val="00DF5706"/>
    <w:rsid w:val="00DF5772"/>
    <w:rsid w:val="00DF5FBC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5B9D"/>
    <w:rsid w:val="00E90772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E6809"/>
    <w:rsid w:val="00EF4912"/>
    <w:rsid w:val="00F05A11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0CC1"/>
    <w:rsid w:val="00F7368E"/>
    <w:rsid w:val="00F73AAF"/>
    <w:rsid w:val="00F77294"/>
    <w:rsid w:val="00F77E31"/>
    <w:rsid w:val="00F801D8"/>
    <w:rsid w:val="00F80D4A"/>
    <w:rsid w:val="00F81C73"/>
    <w:rsid w:val="00F839D8"/>
    <w:rsid w:val="00F8485F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2A40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2D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8372D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8372D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372D9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8372D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72D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8372D9"/>
    <w:pPr>
      <w:spacing w:before="120"/>
      <w:ind w:firstLine="567"/>
    </w:pPr>
  </w:style>
  <w:style w:type="paragraph" w:customStyle="1" w:styleId="a6">
    <w:name w:val="Шапка документу"/>
    <w:basedOn w:val="a"/>
    <w:rsid w:val="008372D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372D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8372D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372D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372D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372D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372D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372D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8372D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372D9"/>
    <w:pPr>
      <w:ind w:firstLine="567"/>
      <w:jc w:val="both"/>
    </w:pPr>
  </w:style>
  <w:style w:type="paragraph" w:customStyle="1" w:styleId="ShapkaDocumentu">
    <w:name w:val="Shapka Documentu"/>
    <w:basedOn w:val="NormalText"/>
    <w:rsid w:val="008372D9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DF5FBC"/>
    <w:rPr>
      <w:i/>
      <w:iCs/>
      <w:color w:val="0000FF"/>
    </w:rPr>
  </w:style>
  <w:style w:type="character" w:customStyle="1" w:styleId="st46">
    <w:name w:val="st46"/>
    <w:uiPriority w:val="99"/>
    <w:rsid w:val="00DF5FBC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6178-5DDC-4EA6-9FBA-0210F496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User1</cp:lastModifiedBy>
  <cp:revision>11</cp:revision>
  <cp:lastPrinted>2025-06-05T10:03:00Z</cp:lastPrinted>
  <dcterms:created xsi:type="dcterms:W3CDTF">2024-11-21T15:51:00Z</dcterms:created>
  <dcterms:modified xsi:type="dcterms:W3CDTF">2025-07-15T06:33:00Z</dcterms:modified>
</cp:coreProperties>
</file>