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C63E0" w:rsidRDefault="00DF2462" w:rsidP="009C63E0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81FCB" w:rsidP="00DF2462">
      <w:pPr>
        <w:jc w:val="both"/>
        <w:rPr>
          <w:b/>
          <w:sz w:val="28"/>
          <w:szCs w:val="28"/>
        </w:rPr>
      </w:pPr>
      <w:r w:rsidRPr="00881FCB">
        <w:rPr>
          <w:b/>
          <w:sz w:val="28"/>
          <w:szCs w:val="28"/>
          <w:lang w:val="ru-RU"/>
        </w:rPr>
        <w:t xml:space="preserve">20 </w:t>
      </w:r>
      <w:r w:rsidR="006F3C0B">
        <w:rPr>
          <w:b/>
          <w:sz w:val="28"/>
          <w:szCs w:val="28"/>
          <w:lang w:val="ru-RU"/>
        </w:rPr>
        <w:t xml:space="preserve"> травня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696D00">
        <w:rPr>
          <w:b/>
          <w:sz w:val="28"/>
          <w:szCs w:val="28"/>
        </w:rPr>
        <w:t>4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 w:rsidR="002C74A7">
        <w:rPr>
          <w:b/>
          <w:sz w:val="28"/>
          <w:szCs w:val="28"/>
        </w:rPr>
        <w:t xml:space="preserve">                  № </w:t>
      </w:r>
      <w:r w:rsidR="006F3C0B">
        <w:rPr>
          <w:b/>
          <w:sz w:val="28"/>
          <w:szCs w:val="28"/>
          <w:lang w:val="ru-RU"/>
        </w:rPr>
        <w:t>6</w:t>
      </w:r>
      <w:r w:rsidRPr="00881FCB">
        <w:rPr>
          <w:b/>
          <w:sz w:val="28"/>
          <w:szCs w:val="28"/>
          <w:lang w:val="ru-RU"/>
        </w:rPr>
        <w:t>7</w:t>
      </w:r>
      <w:r w:rsidR="00DA1456">
        <w:rPr>
          <w:b/>
          <w:sz w:val="28"/>
          <w:szCs w:val="28"/>
        </w:rPr>
        <w:t>/</w:t>
      </w:r>
      <w:r w:rsidR="00696D00">
        <w:rPr>
          <w:b/>
          <w:sz w:val="28"/>
          <w:szCs w:val="28"/>
        </w:rPr>
        <w:t xml:space="preserve"> 2024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974B39" w:rsidRPr="00DC4A7F" w:rsidRDefault="00974B39" w:rsidP="00DC4A7F"/>
    <w:p w:rsidR="002A7C72" w:rsidRDefault="00881FCB" w:rsidP="00881FCB">
      <w:pPr>
        <w:rPr>
          <w:b/>
          <w:sz w:val="28"/>
          <w:szCs w:val="28"/>
        </w:rPr>
      </w:pPr>
      <w:bookmarkStart w:id="0" w:name="_GoBack"/>
      <w:r w:rsidRPr="00057208">
        <w:rPr>
          <w:b/>
          <w:sz w:val="28"/>
          <w:szCs w:val="28"/>
        </w:rPr>
        <w:t>Про  призначення  відповідальних</w:t>
      </w:r>
      <w:r w:rsidR="002A7C72">
        <w:rPr>
          <w:b/>
          <w:sz w:val="28"/>
          <w:szCs w:val="28"/>
        </w:rPr>
        <w:t xml:space="preserve"> осіб</w:t>
      </w:r>
    </w:p>
    <w:p w:rsidR="00881FCB" w:rsidRPr="00057208" w:rsidRDefault="002A7C72" w:rsidP="00881FCB">
      <w:pPr>
        <w:rPr>
          <w:b/>
          <w:sz w:val="28"/>
          <w:szCs w:val="28"/>
        </w:rPr>
      </w:pPr>
      <w:r>
        <w:rPr>
          <w:b/>
          <w:sz w:val="28"/>
          <w:szCs w:val="28"/>
        </w:rPr>
        <w:t>з</w:t>
      </w:r>
      <w:r w:rsidR="00881FCB" w:rsidRPr="00057208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 </w:t>
      </w:r>
      <w:r w:rsidR="00881FCB" w:rsidRPr="00057208">
        <w:rPr>
          <w:b/>
          <w:sz w:val="28"/>
          <w:szCs w:val="28"/>
        </w:rPr>
        <w:t>технічний стан пожежних гідрантів,</w:t>
      </w:r>
    </w:p>
    <w:p w:rsidR="00881FCB" w:rsidRPr="00057208" w:rsidRDefault="00881FCB" w:rsidP="00881FCB">
      <w:pPr>
        <w:rPr>
          <w:b/>
          <w:sz w:val="28"/>
          <w:szCs w:val="28"/>
        </w:rPr>
      </w:pPr>
      <w:r w:rsidRPr="00057208">
        <w:rPr>
          <w:b/>
          <w:sz w:val="28"/>
          <w:szCs w:val="28"/>
        </w:rPr>
        <w:t>установлених на мережі водопроводу</w:t>
      </w:r>
    </w:p>
    <w:p w:rsidR="00881FCB" w:rsidRPr="00057208" w:rsidRDefault="005C6179" w:rsidP="00881FC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населених пунктів </w:t>
      </w:r>
      <w:r w:rsidR="00881FCB" w:rsidRPr="00057208">
        <w:rPr>
          <w:b/>
          <w:sz w:val="28"/>
          <w:szCs w:val="28"/>
        </w:rPr>
        <w:t>Теплицької</w:t>
      </w:r>
      <w:r w:rsidRPr="005C617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сільської ради</w:t>
      </w:r>
      <w:r w:rsidRPr="00057208">
        <w:rPr>
          <w:b/>
          <w:sz w:val="28"/>
          <w:szCs w:val="28"/>
        </w:rPr>
        <w:t xml:space="preserve">   </w:t>
      </w:r>
      <w:r w:rsidR="00881FCB" w:rsidRPr="00057208">
        <w:rPr>
          <w:b/>
          <w:sz w:val="28"/>
          <w:szCs w:val="28"/>
        </w:rPr>
        <w:t xml:space="preserve">                    </w:t>
      </w:r>
    </w:p>
    <w:p w:rsidR="00881FCB" w:rsidRDefault="00881FCB" w:rsidP="00881FCB">
      <w:pPr>
        <w:rPr>
          <w:b/>
          <w:sz w:val="28"/>
          <w:szCs w:val="28"/>
        </w:rPr>
      </w:pPr>
    </w:p>
    <w:p w:rsidR="00881FCB" w:rsidRDefault="00881FCB" w:rsidP="00D54060">
      <w:pPr>
        <w:suppressAutoHyphens/>
        <w:ind w:firstLine="708"/>
        <w:jc w:val="both"/>
        <w:rPr>
          <w:sz w:val="28"/>
          <w:szCs w:val="28"/>
        </w:rPr>
      </w:pPr>
      <w:r w:rsidRPr="004A5271">
        <w:rPr>
          <w:sz w:val="28"/>
          <w:szCs w:val="28"/>
        </w:rPr>
        <w:t xml:space="preserve"> Керуючись підпунктом 20 пункту 4 статті 42 Закону України «Про місцеве самоврядування в Україні»,</w:t>
      </w:r>
      <w:r w:rsidR="00B176E6">
        <w:rPr>
          <w:sz w:val="28"/>
          <w:szCs w:val="28"/>
        </w:rPr>
        <w:t xml:space="preserve"> </w:t>
      </w:r>
      <w:r w:rsidRPr="004A5271">
        <w:rPr>
          <w:sz w:val="28"/>
          <w:szCs w:val="28"/>
        </w:rPr>
        <w:t xml:space="preserve">на виконання вимог Законів України «Про охорону праці», положень Кодексу цивільного захисту України, </w:t>
      </w:r>
      <w:r>
        <w:rPr>
          <w:sz w:val="28"/>
          <w:szCs w:val="28"/>
        </w:rPr>
        <w:t xml:space="preserve">розділ </w:t>
      </w:r>
      <w:r>
        <w:rPr>
          <w:sz w:val="28"/>
          <w:szCs w:val="28"/>
          <w:lang w:val="en-US"/>
        </w:rPr>
        <w:t>V</w:t>
      </w:r>
      <w:r w:rsidRPr="00057208">
        <w:rPr>
          <w:sz w:val="28"/>
          <w:szCs w:val="28"/>
        </w:rPr>
        <w:t xml:space="preserve"> глави </w:t>
      </w:r>
      <w:r>
        <w:rPr>
          <w:sz w:val="28"/>
          <w:szCs w:val="28"/>
        </w:rPr>
        <w:t>2 пункту 2.1 підпункту 1 наказу МВС України «Про затвердження п</w:t>
      </w:r>
      <w:r w:rsidRPr="004A5271">
        <w:rPr>
          <w:sz w:val="28"/>
          <w:szCs w:val="28"/>
        </w:rPr>
        <w:t>равил пожежної безпеки  в України</w:t>
      </w:r>
      <w:r>
        <w:rPr>
          <w:sz w:val="28"/>
          <w:szCs w:val="28"/>
        </w:rPr>
        <w:t>»</w:t>
      </w:r>
      <w:r w:rsidRPr="004A5271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згідно розділу II пункту 2 та пункту 3 наказу МВС України від 15.06.2015 №696 «Про затвердження Інструкції про порядок утримання, обліку та перевірки технічного стану джерел зовнішнього протипожежного водопостачання», </w:t>
      </w:r>
      <w:r w:rsidRPr="004A5271">
        <w:rPr>
          <w:sz w:val="28"/>
          <w:szCs w:val="28"/>
        </w:rPr>
        <w:t>затверджених наказом Міністерства внутрішніх справ України від 30.12.2014 №1417, зареєстрованих в Міністерстві юстиції України від 05.03.2015</w:t>
      </w:r>
      <w:r w:rsidR="00680F52">
        <w:rPr>
          <w:sz w:val="28"/>
          <w:szCs w:val="28"/>
        </w:rPr>
        <w:t xml:space="preserve"> №</w:t>
      </w:r>
      <w:r w:rsidRPr="004A5271">
        <w:rPr>
          <w:sz w:val="28"/>
          <w:szCs w:val="28"/>
        </w:rPr>
        <w:t xml:space="preserve">252/26697  </w:t>
      </w:r>
      <w:r>
        <w:rPr>
          <w:sz w:val="28"/>
          <w:szCs w:val="28"/>
        </w:rPr>
        <w:t>«Протипожежний захист. Знаки безпеки. Форма та колір»</w:t>
      </w:r>
    </w:p>
    <w:p w:rsidR="00881FCB" w:rsidRPr="00057208" w:rsidRDefault="00881FCB" w:rsidP="00D54060">
      <w:pPr>
        <w:suppressAutoHyphens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4A5271">
        <w:rPr>
          <w:sz w:val="28"/>
          <w:szCs w:val="28"/>
        </w:rPr>
        <w:t xml:space="preserve">   </w:t>
      </w:r>
    </w:p>
    <w:p w:rsidR="005C3649" w:rsidRDefault="00881FCB" w:rsidP="005C3649">
      <w:pPr>
        <w:suppressAutoHyphens/>
        <w:spacing w:line="276" w:lineRule="auto"/>
        <w:jc w:val="both"/>
        <w:rPr>
          <w:sz w:val="16"/>
          <w:szCs w:val="16"/>
        </w:rPr>
      </w:pPr>
      <w:r w:rsidRPr="004A5271">
        <w:rPr>
          <w:sz w:val="28"/>
          <w:szCs w:val="28"/>
        </w:rPr>
        <w:t xml:space="preserve"> </w:t>
      </w:r>
      <w:r w:rsidR="00680F52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Призначити відповідальними особами </w:t>
      </w:r>
      <w:r w:rsidRPr="004A5271">
        <w:rPr>
          <w:sz w:val="28"/>
          <w:szCs w:val="28"/>
        </w:rPr>
        <w:t xml:space="preserve">за </w:t>
      </w:r>
      <w:r>
        <w:rPr>
          <w:sz w:val="28"/>
          <w:szCs w:val="28"/>
        </w:rPr>
        <w:t xml:space="preserve">технічний стан пожежних гідрантів, установлених на мережі водопроводу населених пунктів Теплиця, Веселий Кут, Садове та Роща </w:t>
      </w:r>
      <w:r w:rsidR="005C6179">
        <w:rPr>
          <w:sz w:val="28"/>
          <w:szCs w:val="28"/>
        </w:rPr>
        <w:t>- Хаджиогло Василя Трифоновича</w:t>
      </w:r>
      <w:r>
        <w:rPr>
          <w:sz w:val="28"/>
          <w:szCs w:val="28"/>
        </w:rPr>
        <w:t xml:space="preserve">, </w:t>
      </w:r>
      <w:r w:rsidR="002B6EF3">
        <w:rPr>
          <w:sz w:val="28"/>
          <w:szCs w:val="28"/>
        </w:rPr>
        <w:t xml:space="preserve">директора комунального підприємства «Акватік», </w:t>
      </w:r>
      <w:r>
        <w:rPr>
          <w:sz w:val="28"/>
          <w:szCs w:val="28"/>
        </w:rPr>
        <w:t>а в населеному пункті Мирнопілля</w:t>
      </w:r>
      <w:r w:rsidR="002B6EF3">
        <w:rPr>
          <w:sz w:val="28"/>
          <w:szCs w:val="28"/>
        </w:rPr>
        <w:t xml:space="preserve"> </w:t>
      </w:r>
      <w:r w:rsidR="00D839AA">
        <w:rPr>
          <w:sz w:val="28"/>
          <w:szCs w:val="28"/>
        </w:rPr>
        <w:t>-</w:t>
      </w:r>
      <w:r w:rsidR="00E26EEC">
        <w:rPr>
          <w:sz w:val="28"/>
          <w:szCs w:val="28"/>
        </w:rPr>
        <w:t xml:space="preserve"> Глуган Олександра Івановича</w:t>
      </w:r>
      <w:r w:rsidR="00AB75BD">
        <w:rPr>
          <w:sz w:val="28"/>
          <w:szCs w:val="28"/>
        </w:rPr>
        <w:t xml:space="preserve">, </w:t>
      </w:r>
      <w:r w:rsidR="00D839AA">
        <w:rPr>
          <w:sz w:val="28"/>
          <w:szCs w:val="28"/>
        </w:rPr>
        <w:t>директора комунального підприємства «Кришталь»</w:t>
      </w:r>
      <w:r>
        <w:rPr>
          <w:sz w:val="28"/>
          <w:szCs w:val="28"/>
        </w:rPr>
        <w:t>.</w:t>
      </w:r>
    </w:p>
    <w:p w:rsidR="005C3649" w:rsidRPr="005C3649" w:rsidRDefault="005C3649" w:rsidP="005C3649">
      <w:pPr>
        <w:suppressAutoHyphens/>
        <w:spacing w:line="276" w:lineRule="auto"/>
        <w:jc w:val="both"/>
        <w:rPr>
          <w:sz w:val="16"/>
          <w:szCs w:val="16"/>
        </w:rPr>
      </w:pPr>
    </w:p>
    <w:p w:rsidR="00881FCB" w:rsidRPr="00396239" w:rsidRDefault="00881FCB" w:rsidP="005C3649">
      <w:pPr>
        <w:shd w:val="clear" w:color="auto" w:fill="FFFFFF"/>
        <w:suppressAutoHyphens/>
        <w:spacing w:after="24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396239">
        <w:rPr>
          <w:b/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Затвердити інструкцію з пожежної безпеки «Утримання, облік та </w:t>
      </w:r>
      <w:r w:rsidRPr="00396239">
        <w:rPr>
          <w:bCs/>
          <w:sz w:val="28"/>
          <w:szCs w:val="28"/>
        </w:rPr>
        <w:t>перевірка техн</w:t>
      </w:r>
      <w:r>
        <w:rPr>
          <w:bCs/>
          <w:sz w:val="28"/>
          <w:szCs w:val="28"/>
        </w:rPr>
        <w:t xml:space="preserve">ічного стану джерел зовнішнього </w:t>
      </w:r>
      <w:r w:rsidR="002A0F5B">
        <w:rPr>
          <w:bCs/>
          <w:sz w:val="28"/>
          <w:szCs w:val="28"/>
        </w:rPr>
        <w:t>протипожежного водопостачання  відпо</w:t>
      </w:r>
      <w:r w:rsidR="0092666B">
        <w:rPr>
          <w:bCs/>
          <w:sz w:val="28"/>
          <w:szCs w:val="28"/>
        </w:rPr>
        <w:t>відно до додат</w:t>
      </w:r>
      <w:r w:rsidR="002A0F5B">
        <w:rPr>
          <w:bCs/>
          <w:sz w:val="28"/>
          <w:szCs w:val="28"/>
        </w:rPr>
        <w:t xml:space="preserve">ку. </w:t>
      </w:r>
    </w:p>
    <w:p w:rsidR="00680F52" w:rsidRDefault="00881FCB" w:rsidP="00D54060">
      <w:pPr>
        <w:suppressAutoHyphens/>
        <w:jc w:val="both"/>
        <w:rPr>
          <w:sz w:val="28"/>
          <w:szCs w:val="28"/>
        </w:rPr>
      </w:pPr>
      <w:r w:rsidRPr="004A5271"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Відповідальним особам  </w:t>
      </w:r>
      <w:r w:rsidRPr="004A5271">
        <w:rPr>
          <w:sz w:val="28"/>
          <w:szCs w:val="28"/>
        </w:rPr>
        <w:t>встановити вказівники на</w:t>
      </w:r>
      <w:r>
        <w:rPr>
          <w:sz w:val="28"/>
          <w:szCs w:val="28"/>
        </w:rPr>
        <w:t xml:space="preserve"> </w:t>
      </w:r>
      <w:r w:rsidR="001131CD">
        <w:rPr>
          <w:sz w:val="28"/>
          <w:szCs w:val="28"/>
        </w:rPr>
        <w:t>пожежних гідрантах</w:t>
      </w:r>
      <w:r w:rsidR="00B81C78">
        <w:rPr>
          <w:sz w:val="28"/>
          <w:szCs w:val="28"/>
        </w:rPr>
        <w:t>,</w:t>
      </w:r>
      <w:r w:rsidR="001131CD">
        <w:rPr>
          <w:sz w:val="28"/>
          <w:szCs w:val="28"/>
        </w:rPr>
        <w:t xml:space="preserve"> </w:t>
      </w:r>
      <w:r w:rsidRPr="004A5271">
        <w:rPr>
          <w:sz w:val="28"/>
          <w:szCs w:val="28"/>
        </w:rPr>
        <w:t xml:space="preserve"> </w:t>
      </w:r>
      <w:r w:rsidR="00971BD4">
        <w:rPr>
          <w:sz w:val="28"/>
          <w:szCs w:val="28"/>
        </w:rPr>
        <w:t>утримувати гідранти</w:t>
      </w:r>
      <w:r>
        <w:rPr>
          <w:sz w:val="28"/>
          <w:szCs w:val="28"/>
        </w:rPr>
        <w:t xml:space="preserve"> у справному стані (технічне обслуговування, поточний ремонт, утеплення за необхідністю, утримання у сухому стані, очищення люків </w:t>
      </w:r>
    </w:p>
    <w:p w:rsidR="00C97695" w:rsidRPr="00680F52" w:rsidRDefault="00881FCB" w:rsidP="00680F52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колодязів від сміття, снігу та льоду, фарбування кришок люків у червоний колір)</w:t>
      </w: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971BD4" w:rsidRDefault="00971BD4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</w:p>
    <w:p w:rsidR="00881FCB" w:rsidRPr="00CF3DE8" w:rsidRDefault="00881FCB" w:rsidP="00D54060">
      <w:pPr>
        <w:pStyle w:val="a8"/>
        <w:suppressAutoHyphens/>
        <w:ind w:left="0"/>
        <w:jc w:val="both"/>
        <w:rPr>
          <w:color w:val="000000"/>
          <w:sz w:val="28"/>
          <w:szCs w:val="28"/>
        </w:rPr>
      </w:pPr>
      <w:r w:rsidRPr="00CF3DE8">
        <w:rPr>
          <w:color w:val="000000"/>
          <w:sz w:val="28"/>
          <w:szCs w:val="28"/>
        </w:rPr>
        <w:t xml:space="preserve">4. Контроль за виконання </w:t>
      </w:r>
      <w:r w:rsidRPr="00CF3DE8">
        <w:rPr>
          <w:sz w:val="28"/>
          <w:szCs w:val="28"/>
        </w:rPr>
        <w:t>цього рішення покласти на заступника сільського голови  з питань діяльності виконавчих органів.</w:t>
      </w:r>
    </w:p>
    <w:p w:rsidR="00881FCB" w:rsidRDefault="00881FCB" w:rsidP="00D54060">
      <w:pPr>
        <w:shd w:val="clear" w:color="auto" w:fill="FFFFFF"/>
        <w:suppressAutoHyphens/>
        <w:spacing w:after="225"/>
        <w:jc w:val="both"/>
        <w:textAlignment w:val="baseline"/>
        <w:rPr>
          <w:color w:val="000000"/>
          <w:sz w:val="28"/>
          <w:szCs w:val="28"/>
        </w:rPr>
      </w:pPr>
    </w:p>
    <w:p w:rsidR="00881FCB" w:rsidRPr="004A5271" w:rsidRDefault="00881FCB" w:rsidP="00D54060">
      <w:pPr>
        <w:suppressAutoHyphens/>
        <w:jc w:val="both"/>
        <w:rPr>
          <w:sz w:val="28"/>
          <w:szCs w:val="28"/>
        </w:rPr>
      </w:pPr>
    </w:p>
    <w:p w:rsidR="00881FCB" w:rsidRDefault="00881FCB" w:rsidP="00D54060">
      <w:pPr>
        <w:suppressAutoHyphens/>
        <w:jc w:val="both"/>
      </w:pPr>
    </w:p>
    <w:p w:rsidR="00881FCB" w:rsidRDefault="00881FCB" w:rsidP="00D54060">
      <w:pPr>
        <w:suppressAutoHyphens/>
        <w:jc w:val="both"/>
      </w:pPr>
    </w:p>
    <w:p w:rsidR="00881FCB" w:rsidRDefault="00881FCB" w:rsidP="00D54060">
      <w:pPr>
        <w:suppressAutoHyphens/>
        <w:jc w:val="both"/>
      </w:pPr>
    </w:p>
    <w:p w:rsidR="00881FCB" w:rsidRDefault="00881FCB" w:rsidP="00D54060">
      <w:pPr>
        <w:suppressAutoHyphens/>
        <w:jc w:val="both"/>
      </w:pPr>
    </w:p>
    <w:p w:rsidR="00881FCB" w:rsidRDefault="00881FCB" w:rsidP="00D54060">
      <w:pPr>
        <w:jc w:val="both"/>
      </w:pPr>
    </w:p>
    <w:p w:rsidR="00336613" w:rsidRPr="00305D7C" w:rsidRDefault="00336613" w:rsidP="00336613">
      <w:pPr>
        <w:pStyle w:val="10"/>
        <w:tabs>
          <w:tab w:val="left" w:pos="3828"/>
        </w:tabs>
        <w:ind w:left="3828" w:hanging="3828"/>
        <w:jc w:val="both"/>
        <w:rPr>
          <w:sz w:val="27"/>
          <w:szCs w:val="27"/>
          <w:lang w:val="uk-UA"/>
        </w:rPr>
      </w:pPr>
      <w:r w:rsidRPr="00E97F99">
        <w:rPr>
          <w:color w:val="000000"/>
          <w:spacing w:val="-6"/>
          <w:sz w:val="28"/>
          <w:szCs w:val="28"/>
          <w:lang w:val="uk-UA"/>
        </w:rPr>
        <w:t xml:space="preserve">Сільський голова                                                                           Іван  ЛЕОНТЬЄВ       </w:t>
      </w:r>
    </w:p>
    <w:p w:rsidR="00881FCB" w:rsidRDefault="00881FCB" w:rsidP="00D54060">
      <w:pPr>
        <w:jc w:val="both"/>
      </w:pPr>
    </w:p>
    <w:p w:rsidR="00881FCB" w:rsidRDefault="00881FCB" w:rsidP="00D54060">
      <w:pPr>
        <w:jc w:val="both"/>
      </w:pPr>
    </w:p>
    <w:p w:rsidR="00881FCB" w:rsidRDefault="00881FCB" w:rsidP="00D54060">
      <w:pPr>
        <w:jc w:val="both"/>
      </w:pPr>
    </w:p>
    <w:p w:rsidR="00881FCB" w:rsidRDefault="00881FCB" w:rsidP="00881FCB"/>
    <w:p w:rsidR="00881FCB" w:rsidRDefault="00881FCB" w:rsidP="00881FCB"/>
    <w:p w:rsidR="00881FCB" w:rsidRDefault="00881FCB" w:rsidP="00881FCB"/>
    <w:p w:rsidR="00881FCB" w:rsidRDefault="00881FCB" w:rsidP="00881FCB"/>
    <w:p w:rsidR="00881FCB" w:rsidRDefault="00881FCB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336613" w:rsidRDefault="00336613" w:rsidP="00881FCB"/>
    <w:p w:rsidR="00427E87" w:rsidRDefault="00D03F40" w:rsidP="00D03F40">
      <w:pPr>
        <w:jc w:val="center"/>
        <w:rPr>
          <w:sz w:val="28"/>
          <w:szCs w:val="48"/>
        </w:rPr>
      </w:pPr>
      <w:r>
        <w:rPr>
          <w:sz w:val="28"/>
          <w:szCs w:val="48"/>
        </w:rPr>
        <w:t xml:space="preserve">                                                      </w:t>
      </w:r>
    </w:p>
    <w:p w:rsidR="00D03F40" w:rsidRDefault="00427E87" w:rsidP="00D03F40">
      <w:pPr>
        <w:jc w:val="center"/>
        <w:rPr>
          <w:sz w:val="28"/>
          <w:szCs w:val="48"/>
        </w:rPr>
      </w:pPr>
      <w:r>
        <w:rPr>
          <w:sz w:val="28"/>
          <w:szCs w:val="48"/>
        </w:rPr>
        <w:t xml:space="preserve">                                                                 </w:t>
      </w:r>
      <w:r w:rsidR="00D03F40">
        <w:rPr>
          <w:sz w:val="28"/>
          <w:szCs w:val="48"/>
        </w:rPr>
        <w:t xml:space="preserve">  ЗАТВЕРДЖЕНО</w:t>
      </w:r>
    </w:p>
    <w:p w:rsidR="00D03F40" w:rsidRDefault="00D03F40" w:rsidP="00D03F40">
      <w:pPr>
        <w:jc w:val="center"/>
        <w:rPr>
          <w:sz w:val="24"/>
          <w:szCs w:val="24"/>
        </w:rPr>
      </w:pPr>
      <w:r>
        <w:rPr>
          <w:sz w:val="28"/>
          <w:szCs w:val="48"/>
        </w:rPr>
        <w:t xml:space="preserve">                                                           </w:t>
      </w:r>
      <w:r w:rsidRPr="009E28F8">
        <w:rPr>
          <w:sz w:val="24"/>
          <w:szCs w:val="24"/>
        </w:rPr>
        <w:t xml:space="preserve">Розпорядження голови </w:t>
      </w:r>
    </w:p>
    <w:p w:rsidR="00D03F40" w:rsidRPr="009E28F8" w:rsidRDefault="00D03F40" w:rsidP="00D03F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9E28F8">
        <w:rPr>
          <w:sz w:val="24"/>
          <w:szCs w:val="24"/>
        </w:rPr>
        <w:t xml:space="preserve">Теплицької  сільської ради </w:t>
      </w:r>
    </w:p>
    <w:p w:rsidR="00D03F40" w:rsidRPr="009E28F8" w:rsidRDefault="00D03F40" w:rsidP="00D03F40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</w:t>
      </w:r>
      <w:r w:rsidR="00B31518">
        <w:rPr>
          <w:sz w:val="24"/>
          <w:szCs w:val="24"/>
        </w:rPr>
        <w:t>від 20.05.2024</w:t>
      </w:r>
      <w:r w:rsidRPr="009E28F8">
        <w:rPr>
          <w:sz w:val="24"/>
          <w:szCs w:val="24"/>
        </w:rPr>
        <w:t xml:space="preserve">р. </w:t>
      </w:r>
      <w:r w:rsidR="00B31518">
        <w:rPr>
          <w:sz w:val="24"/>
          <w:szCs w:val="24"/>
        </w:rPr>
        <w:t>№ 67/2024</w:t>
      </w:r>
      <w:r w:rsidRPr="009E28F8">
        <w:rPr>
          <w:sz w:val="24"/>
          <w:szCs w:val="24"/>
        </w:rPr>
        <w:t>-СР</w:t>
      </w:r>
    </w:p>
    <w:p w:rsidR="00D03F40" w:rsidRPr="009E28F8" w:rsidRDefault="00D03F40" w:rsidP="00D03F40">
      <w:pPr>
        <w:jc w:val="center"/>
        <w:rPr>
          <w:sz w:val="24"/>
          <w:szCs w:val="24"/>
        </w:rPr>
      </w:pPr>
      <w:r w:rsidRPr="009E28F8">
        <w:rPr>
          <w:sz w:val="24"/>
          <w:szCs w:val="24"/>
        </w:rPr>
        <w:t xml:space="preserve">                                </w:t>
      </w:r>
      <w:r>
        <w:rPr>
          <w:sz w:val="24"/>
          <w:szCs w:val="24"/>
        </w:rPr>
        <w:t xml:space="preserve">                                                            ______________  Іван ЛЕОНТЬЄВ</w:t>
      </w:r>
    </w:p>
    <w:p w:rsidR="00D03F40" w:rsidRPr="009E28F8" w:rsidRDefault="00D03F40" w:rsidP="00D03F40">
      <w:pPr>
        <w:jc w:val="center"/>
        <w:rPr>
          <w:sz w:val="24"/>
          <w:szCs w:val="24"/>
        </w:rPr>
      </w:pPr>
      <w:r w:rsidRPr="009E28F8">
        <w:rPr>
          <w:sz w:val="24"/>
          <w:szCs w:val="24"/>
        </w:rPr>
        <w:t xml:space="preserve">                                                                     </w:t>
      </w:r>
    </w:p>
    <w:p w:rsidR="00D03F40" w:rsidRDefault="00D03F40" w:rsidP="00D03F40">
      <w:pPr>
        <w:jc w:val="center"/>
        <w:rPr>
          <w:sz w:val="18"/>
          <w:szCs w:val="48"/>
        </w:rPr>
      </w:pPr>
    </w:p>
    <w:p w:rsidR="00D03F40" w:rsidRDefault="00D03F40" w:rsidP="00D03F40">
      <w:pPr>
        <w:jc w:val="center"/>
        <w:rPr>
          <w:b/>
          <w:sz w:val="18"/>
          <w:szCs w:val="48"/>
        </w:rPr>
      </w:pPr>
    </w:p>
    <w:p w:rsidR="00D03F40" w:rsidRDefault="00D03F40" w:rsidP="00D03F40">
      <w:pPr>
        <w:jc w:val="center"/>
        <w:rPr>
          <w:b/>
          <w:sz w:val="28"/>
          <w:szCs w:val="48"/>
        </w:rPr>
      </w:pPr>
      <w:r>
        <w:rPr>
          <w:rFonts w:eastAsia="Calibri"/>
          <w:b/>
          <w:color w:val="000000"/>
          <w:sz w:val="28"/>
          <w:szCs w:val="28"/>
        </w:rPr>
        <w:t xml:space="preserve">  ІНСТРУКЦІЯ</w:t>
      </w:r>
      <w:r>
        <w:rPr>
          <w:b/>
          <w:sz w:val="28"/>
          <w:szCs w:val="48"/>
        </w:rPr>
        <w:t xml:space="preserve"> </w:t>
      </w:r>
    </w:p>
    <w:p w:rsidR="00881FCB" w:rsidRDefault="00D03F40" w:rsidP="00D03F40">
      <w:pPr>
        <w:jc w:val="center"/>
      </w:pPr>
      <w:r>
        <w:rPr>
          <w:b/>
          <w:sz w:val="28"/>
          <w:szCs w:val="48"/>
        </w:rPr>
        <w:t xml:space="preserve"> З ПОЖЕЖНОЇ БЕЗПЕКИ</w:t>
      </w:r>
    </w:p>
    <w:p w:rsidR="00881FCB" w:rsidRDefault="00881FCB" w:rsidP="00881FCB"/>
    <w:p w:rsidR="00881FCB" w:rsidRDefault="00881FCB" w:rsidP="00881FCB"/>
    <w:p w:rsidR="00881FCB" w:rsidRPr="00615EEA" w:rsidRDefault="00881FCB" w:rsidP="00881FCB">
      <w:pPr>
        <w:shd w:val="clear" w:color="auto" w:fill="FFFFFF"/>
        <w:spacing w:after="24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Утримання</w:t>
      </w:r>
      <w:r w:rsidRPr="00615EEA">
        <w:rPr>
          <w:b/>
          <w:bCs/>
          <w:sz w:val="28"/>
          <w:szCs w:val="28"/>
        </w:rPr>
        <w:t xml:space="preserve"> та перевірка технічного стану джерел зовнішнього</w:t>
      </w:r>
      <w:r w:rsidRPr="00615EEA">
        <w:rPr>
          <w:b/>
          <w:bCs/>
          <w:sz w:val="28"/>
          <w:szCs w:val="28"/>
        </w:rPr>
        <w:br/>
        <w:t xml:space="preserve">протипожежного водопостачання </w:t>
      </w:r>
    </w:p>
    <w:p w:rsidR="00881FCB" w:rsidRPr="00615EEA" w:rsidRDefault="00881FCB" w:rsidP="00881FCB">
      <w:pPr>
        <w:shd w:val="clear" w:color="auto" w:fill="FFFFFF"/>
        <w:spacing w:after="240"/>
        <w:rPr>
          <w:sz w:val="28"/>
          <w:szCs w:val="28"/>
        </w:rPr>
      </w:pPr>
      <w:r w:rsidRPr="00615EEA">
        <w:rPr>
          <w:b/>
          <w:bCs/>
          <w:sz w:val="28"/>
          <w:szCs w:val="28"/>
        </w:rPr>
        <w:t>Джерела зовнішнього протипожежного водопостачання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Гасіння займання на переважній більшості пожеж досягається дією на поверхню матеріалів, які горять, охолоджувальними вогнегасними речовинами, основною з яких є </w:t>
      </w:r>
      <w:r w:rsidRPr="00615EEA">
        <w:rPr>
          <w:b/>
          <w:bCs/>
          <w:sz w:val="28"/>
          <w:szCs w:val="28"/>
        </w:rPr>
        <w:t>вода</w:t>
      </w:r>
      <w:r w:rsidRPr="00615EEA">
        <w:rPr>
          <w:sz w:val="28"/>
          <w:szCs w:val="28"/>
        </w:rPr>
        <w:t>. Забезпечення безперервної подачі води в необхідній кількості до місця пожежі є головною умовою її успішної ліквідації. Для дотримання цієї умови використовуються джерела зовнішнього протипожежного водопостачання, до яких відносяться:</w:t>
      </w:r>
      <w:r w:rsidRPr="00615EEA">
        <w:rPr>
          <w:sz w:val="28"/>
          <w:szCs w:val="28"/>
        </w:rPr>
        <w:br/>
        <w:t>— пожежні гідранти;</w:t>
      </w:r>
      <w:r w:rsidRPr="00615EEA">
        <w:rPr>
          <w:sz w:val="28"/>
          <w:szCs w:val="28"/>
        </w:rPr>
        <w:br/>
        <w:t>— природні та штучні пожежні водойми (резервуари);</w:t>
      </w:r>
      <w:r w:rsidRPr="00615EEA">
        <w:rPr>
          <w:sz w:val="28"/>
          <w:szCs w:val="28"/>
        </w:rPr>
        <w:br/>
        <w:t>— водонапірні вежі та градирні.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Пожежні гідранти та пожежні резервуари повинні бути справними та утримуватися таким чином, щоб забезпечити безперешкодний забір води пожежними автомобілями. У разі відключення ділянок водопровідної мережі та гідрантів або зменшення тиску мережі нижче за потрібний </w:t>
      </w:r>
      <w:r w:rsidRPr="00615EEA">
        <w:rPr>
          <w:bCs/>
          <w:sz w:val="28"/>
          <w:szCs w:val="28"/>
        </w:rPr>
        <w:t>необхідно сповіщати про це пожежно-рятувальні підрозділи</w:t>
      </w:r>
      <w:r w:rsidRPr="00615EEA">
        <w:rPr>
          <w:sz w:val="28"/>
          <w:szCs w:val="28"/>
        </w:rPr>
        <w:t>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Пожежні гідранти та водойми повинні мати під’їзди з твердим покриттям. У разі наявності на території об’єкта або поблизу нього (у радіусі до 200 м) природних або штучних вододжерел до них повинні бути влаштовані під’їзди з майданчиками (пірсами) розміром не менше 12 х 12 м для встановлення пожежних автомобілів і забирання води будь-якої пори року.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Пожежні резервуари (водойми) та їх обладнання повинні бути захищені від замерзання води. Узимку для забирання води з відкритих вододжерел слід встановлювати утеплені ополонки розміром не менше 0,6 х 0,6 м, які мають утримуватись у зручному для використання стані.</w:t>
      </w:r>
    </w:p>
    <w:p w:rsidR="00BD6548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>Біля місць розташування пожежних гідрантів і водойм повинні бути встановлені покажчики (об’ємні зі світильником або пласкі із застосуванням світло відбивних покриттів) з нанесеними на них:</w:t>
      </w:r>
      <w:r w:rsidRPr="00615EEA">
        <w:rPr>
          <w:sz w:val="28"/>
          <w:szCs w:val="28"/>
        </w:rPr>
        <w:br/>
        <w:t xml:space="preserve">— для пожежного гідранта — літерним індексом ПГ, цифровими значеннями </w:t>
      </w:r>
    </w:p>
    <w:p w:rsidR="00BD6548" w:rsidRDefault="00BD6548" w:rsidP="00990A31">
      <w:pPr>
        <w:shd w:val="clear" w:color="auto" w:fill="FFFFFF" w:themeFill="background1"/>
        <w:suppressAutoHyphens/>
        <w:rPr>
          <w:sz w:val="28"/>
          <w:szCs w:val="28"/>
        </w:rPr>
      </w:pPr>
    </w:p>
    <w:p w:rsidR="00BD6548" w:rsidRDefault="00BD6548" w:rsidP="00990A31">
      <w:pPr>
        <w:shd w:val="clear" w:color="auto" w:fill="FFFFFF" w:themeFill="background1"/>
        <w:suppressAutoHyphens/>
        <w:rPr>
          <w:sz w:val="28"/>
          <w:szCs w:val="28"/>
        </w:rPr>
      </w:pPr>
    </w:p>
    <w:p w:rsidR="00BD6548" w:rsidRDefault="00BD6548" w:rsidP="00990A31">
      <w:pPr>
        <w:shd w:val="clear" w:color="auto" w:fill="FFFFFF" w:themeFill="background1"/>
        <w:suppressAutoHyphens/>
        <w:rPr>
          <w:sz w:val="28"/>
          <w:szCs w:val="28"/>
        </w:rPr>
      </w:pPr>
    </w:p>
    <w:p w:rsidR="00BD6548" w:rsidRDefault="00BD6548" w:rsidP="00990A31">
      <w:pPr>
        <w:shd w:val="clear" w:color="auto" w:fill="FFFFFF" w:themeFill="background1"/>
        <w:suppressAutoHyphens/>
        <w:rPr>
          <w:sz w:val="28"/>
          <w:szCs w:val="28"/>
        </w:rPr>
      </w:pPr>
    </w:p>
    <w:p w:rsidR="00990A31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 xml:space="preserve">відстані в метрах від покажчика до гідранта, внутрішнього діаметра трубопроводу в міліметрах, зазначенням виду водопровідної мережі (тупикова </w:t>
      </w:r>
    </w:p>
    <w:p w:rsidR="00881FCB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>чи кільцева);</w:t>
      </w:r>
      <w:r w:rsidRPr="00615EEA">
        <w:rPr>
          <w:sz w:val="28"/>
          <w:szCs w:val="28"/>
        </w:rPr>
        <w:br/>
        <w:t>— для пожежної водойми — літерним індексом ПВ, цифровими значеннями запасу води в кубічних метрах та кількості пожежних автомобілів, які можуть одночасно встановлюватися на майданчику біля водойми.</w:t>
      </w:r>
    </w:p>
    <w:p w:rsidR="00990A31" w:rsidRDefault="00990A31" w:rsidP="00990A31">
      <w:pPr>
        <w:shd w:val="clear" w:color="auto" w:fill="FFFFFF" w:themeFill="background1"/>
        <w:suppressAutoHyphens/>
        <w:rPr>
          <w:sz w:val="28"/>
          <w:szCs w:val="28"/>
        </w:rPr>
      </w:pP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Водонапірні башти повинні бути забезпечені під’їздом з твердим покриттям і пристосовані для відбору води пожежно-рятувальною технікою будь-якої пори року. На корпус водонапірної башти слід наносити позначення, яке вказує на місце розташування пристрою для забирання води пожежно-рятувальною технікою. Не допускається використовувати для побутових, виробничих та інших господарських потреб протипожежний запас води, який зберігається в резервуарах, водонапірних баштах, водоймах та інших ємнісних спорудах.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Загальні витрати води для гасіння пожежі визначаються як сума витрат води на зовнішнє пожежогасіння та внутрішнє пожежогасіння відповідно до ДБНВ.2.5-64, а також  на роботу систем протипожежного захисту відповідно до ДБНВ.2.5-56.</w:t>
      </w:r>
    </w:p>
    <w:p w:rsidR="00881FCB" w:rsidRPr="00615EEA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>Максимальний термін відновлення пожежного об’єму води повинен бути не більше ніж:</w:t>
      </w:r>
      <w:r w:rsidRPr="00615EEA">
        <w:rPr>
          <w:sz w:val="28"/>
          <w:szCs w:val="28"/>
        </w:rPr>
        <w:br/>
        <w:t>— 24 год. — у населених пунктах і на промислових підприємствах з будівлями за вибухопожежною та пожежною небезпекою категорій А, Б, В;</w:t>
      </w:r>
      <w:r w:rsidRPr="00615EEA">
        <w:rPr>
          <w:sz w:val="28"/>
          <w:szCs w:val="28"/>
        </w:rPr>
        <w:br/>
        <w:t>— 36 год. — на промислових підприємствах з будівлями за пожежною небезпекою категорій Г і Д;</w:t>
      </w:r>
      <w:r w:rsidRPr="00615EEA">
        <w:rPr>
          <w:sz w:val="28"/>
          <w:szCs w:val="28"/>
        </w:rPr>
        <w:br/>
        <w:t>— 72 год. — у сільських населених пунктах і на сільськогосподарських підприємствах.</w:t>
      </w:r>
    </w:p>
    <w:p w:rsidR="00990A31" w:rsidRDefault="00990A31" w:rsidP="00990A31">
      <w:pPr>
        <w:shd w:val="clear" w:color="auto" w:fill="FFFFFF"/>
        <w:suppressAutoHyphens/>
        <w:spacing w:after="240"/>
        <w:rPr>
          <w:b/>
          <w:bCs/>
          <w:sz w:val="28"/>
          <w:szCs w:val="28"/>
        </w:rPr>
      </w:pP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b/>
          <w:bCs/>
          <w:sz w:val="28"/>
          <w:szCs w:val="28"/>
        </w:rPr>
        <w:t>Утримання джерел зовнішнього протипожежного водопостачання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Згідно з вимогами Інструкції про порядок утримання, обліку та перевірки технічного стану джерел зовнішнього протипожежного водопостачання, затвердженої наказом Міністерства внутрішніх справ України від 15 червня 2015 р. № 696, утримання джерел зовнішнього протипожежного водопостачання зобов’язані здійснювати юридичні особи, яким на підставі прав власності або іншого речового права належать такі об’єкти.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Утримання пожежних гідрантів (</w:t>
      </w:r>
      <w:r w:rsidRPr="00615EEA">
        <w:rPr>
          <w:i/>
          <w:iCs/>
          <w:sz w:val="28"/>
          <w:szCs w:val="28"/>
        </w:rPr>
        <w:t>далі</w:t>
      </w:r>
      <w:r w:rsidRPr="00615EEA">
        <w:rPr>
          <w:sz w:val="28"/>
          <w:szCs w:val="28"/>
        </w:rPr>
        <w:t> — ПГ), встановлених на трубопровідних системах централізованого водопостачання населених пунктів, зобов’язані здійснювати підприємства питного водопостачання. Утримання інших ПГ здійснюють юридичні особи, яким вони належать на підставі права власності або іншого речового права.</w:t>
      </w:r>
    </w:p>
    <w:p w:rsidR="008917AA" w:rsidRDefault="008917AA" w:rsidP="00990A31">
      <w:pPr>
        <w:shd w:val="clear" w:color="auto" w:fill="FFFFFF" w:themeFill="background1"/>
        <w:suppressAutoHyphens/>
        <w:rPr>
          <w:sz w:val="28"/>
          <w:szCs w:val="28"/>
          <w:shd w:val="clear" w:color="auto" w:fill="FFFFFF" w:themeFill="background1"/>
        </w:rPr>
      </w:pPr>
    </w:p>
    <w:p w:rsidR="008917AA" w:rsidRDefault="008917AA" w:rsidP="00990A31">
      <w:pPr>
        <w:shd w:val="clear" w:color="auto" w:fill="FFFFFF" w:themeFill="background1"/>
        <w:suppressAutoHyphens/>
        <w:rPr>
          <w:sz w:val="28"/>
          <w:szCs w:val="28"/>
          <w:shd w:val="clear" w:color="auto" w:fill="FFFFFF" w:themeFill="background1"/>
        </w:rPr>
      </w:pPr>
    </w:p>
    <w:p w:rsidR="008917AA" w:rsidRDefault="008917AA" w:rsidP="00990A31">
      <w:pPr>
        <w:shd w:val="clear" w:color="auto" w:fill="FFFFFF" w:themeFill="background1"/>
        <w:suppressAutoHyphens/>
        <w:rPr>
          <w:sz w:val="28"/>
          <w:szCs w:val="28"/>
          <w:shd w:val="clear" w:color="auto" w:fill="FFFFFF" w:themeFill="background1"/>
        </w:rPr>
      </w:pPr>
    </w:p>
    <w:p w:rsidR="00881FCB" w:rsidRPr="00990A31" w:rsidRDefault="00881FCB" w:rsidP="00990A31">
      <w:pPr>
        <w:shd w:val="clear" w:color="auto" w:fill="FFFFFF" w:themeFill="background1"/>
        <w:suppressAutoHyphens/>
        <w:rPr>
          <w:sz w:val="28"/>
          <w:szCs w:val="28"/>
          <w:shd w:val="clear" w:color="auto" w:fill="FFFFFF" w:themeFill="background1"/>
        </w:rPr>
      </w:pPr>
      <w:r w:rsidRPr="00615EEA">
        <w:rPr>
          <w:sz w:val="28"/>
          <w:szCs w:val="28"/>
          <w:shd w:val="clear" w:color="auto" w:fill="FFFFFF" w:themeFill="background1"/>
        </w:rPr>
        <w:t>Утримання ПГ включає:</w:t>
      </w:r>
      <w:r w:rsidRPr="00615EEA">
        <w:rPr>
          <w:sz w:val="28"/>
          <w:szCs w:val="28"/>
          <w:shd w:val="clear" w:color="auto" w:fill="FFFFFF" w:themeFill="background1"/>
        </w:rPr>
        <w:br/>
        <w:t>— технічне обслуговування;</w:t>
      </w:r>
      <w:r w:rsidRPr="00615EEA">
        <w:rPr>
          <w:sz w:val="28"/>
          <w:szCs w:val="28"/>
          <w:shd w:val="clear" w:color="auto" w:fill="FFFFFF" w:themeFill="background1"/>
        </w:rPr>
        <w:br/>
        <w:t>— поточний ремонт;</w:t>
      </w:r>
      <w:r w:rsidRPr="00615EEA">
        <w:rPr>
          <w:sz w:val="28"/>
          <w:szCs w:val="28"/>
          <w:shd w:val="clear" w:color="auto" w:fill="FFFFFF" w:themeFill="background1"/>
        </w:rPr>
        <w:br/>
        <w:t>— забезпечення вільного доступу;</w:t>
      </w:r>
      <w:r w:rsidRPr="00615EEA">
        <w:rPr>
          <w:sz w:val="28"/>
          <w:szCs w:val="28"/>
          <w:shd w:val="clear" w:color="auto" w:fill="FFFFFF" w:themeFill="background1"/>
        </w:rPr>
        <w:br/>
        <w:t>— утеплення (за необхідності);</w:t>
      </w:r>
      <w:r w:rsidRPr="00615EEA">
        <w:rPr>
          <w:sz w:val="28"/>
          <w:szCs w:val="28"/>
          <w:shd w:val="clear" w:color="auto" w:fill="FFFFFF" w:themeFill="background1"/>
        </w:rPr>
        <w:br/>
      </w:r>
      <w:r w:rsidRPr="00615EEA">
        <w:rPr>
          <w:sz w:val="28"/>
          <w:szCs w:val="28"/>
        </w:rPr>
        <w:t>— утримання колодязів, у яких встановлені ПГ, у сухому стані;</w:t>
      </w:r>
      <w:r w:rsidRPr="00615EEA">
        <w:rPr>
          <w:sz w:val="28"/>
          <w:szCs w:val="28"/>
        </w:rPr>
        <w:br/>
        <w:t>— очищення люків колодязів від сміття, снігу та льоду;</w:t>
      </w:r>
      <w:r w:rsidRPr="00615EEA">
        <w:rPr>
          <w:sz w:val="28"/>
          <w:szCs w:val="28"/>
        </w:rPr>
        <w:br/>
        <w:t>— фарбування кришок люків у червоний колір;</w:t>
      </w:r>
      <w:r w:rsidRPr="00615EEA">
        <w:rPr>
          <w:sz w:val="28"/>
          <w:szCs w:val="28"/>
        </w:rPr>
        <w:br/>
        <w:t>— забезпечення пок</w:t>
      </w:r>
      <w:r>
        <w:rPr>
          <w:sz w:val="28"/>
          <w:szCs w:val="28"/>
        </w:rPr>
        <w:t>ажчиками місць розташування ПГ;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Підтримання у постійній готовності штучних водойм, водозабірних пристроїв, під’їздів до водо джерел покладається: на підприємстві — на його власника (орендаря); у населених пунктах — на органи місцевого самоврядування.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Утримання природних та штучних пожежних водойм включає:</w:t>
      </w:r>
      <w:r w:rsidRPr="00615EEA">
        <w:rPr>
          <w:sz w:val="28"/>
          <w:szCs w:val="28"/>
        </w:rPr>
        <w:br/>
        <w:t>— забезпечення вільних під’їздів із твердим покриттям;</w:t>
      </w:r>
      <w:r w:rsidRPr="00615EEA">
        <w:rPr>
          <w:sz w:val="28"/>
          <w:szCs w:val="28"/>
        </w:rPr>
        <w:br/>
        <w:t>— очищення під’їздів від сміття, снігу і льоду;</w:t>
      </w:r>
      <w:r w:rsidRPr="00615EEA">
        <w:rPr>
          <w:sz w:val="28"/>
          <w:szCs w:val="28"/>
        </w:rPr>
        <w:br/>
        <w:t>— забезпечення справного стану пірсів, приймальних колодязів;</w:t>
      </w:r>
      <w:r w:rsidRPr="00615EEA">
        <w:rPr>
          <w:sz w:val="28"/>
          <w:szCs w:val="28"/>
        </w:rPr>
        <w:br/>
        <w:t>— утеплення в зимовий період ополонок розміром не менше 0,6 × 0,6 м;</w:t>
      </w:r>
      <w:r w:rsidRPr="00615EEA">
        <w:rPr>
          <w:sz w:val="28"/>
          <w:szCs w:val="28"/>
        </w:rPr>
        <w:br/>
        <w:t>— захист штучних пожежних водойм, у тому числі пожежних резервуарів та обладнання від замерзання води взимку;</w:t>
      </w:r>
      <w:r w:rsidRPr="00615EEA">
        <w:rPr>
          <w:sz w:val="28"/>
          <w:szCs w:val="28"/>
        </w:rPr>
        <w:br/>
        <w:t>— забезпечення необхідного об’єму (рівня) води (додатково для штучних пожежних водойм), забезпечення покажчиками згідно з НАПБ А.01.001, ДСТУ ISO 6309 та ГОСТ 12.4.026;</w:t>
      </w:r>
      <w:r w:rsidRPr="00615EEA">
        <w:rPr>
          <w:sz w:val="28"/>
          <w:szCs w:val="28"/>
        </w:rPr>
        <w:br/>
        <w:t>Утримання водонапірних веж та градирень включає:</w:t>
      </w:r>
      <w:r w:rsidRPr="00615EEA">
        <w:rPr>
          <w:sz w:val="28"/>
          <w:szCs w:val="28"/>
        </w:rPr>
        <w:br/>
        <w:t>— забезпечення вільного під’їзду з твердим покриттям;</w:t>
      </w:r>
      <w:r w:rsidRPr="00615EEA">
        <w:rPr>
          <w:sz w:val="28"/>
          <w:szCs w:val="28"/>
        </w:rPr>
        <w:br/>
        <w:t>— очищення під’їзду від сміття, снігу та льоду;</w:t>
      </w:r>
      <w:r w:rsidRPr="00615EEA">
        <w:rPr>
          <w:sz w:val="28"/>
          <w:szCs w:val="28"/>
        </w:rPr>
        <w:br/>
        <w:t>— утримання пристрою відбору води протипожежною технікою у справному стані;</w:t>
      </w:r>
      <w:r w:rsidRPr="00615EEA">
        <w:rPr>
          <w:sz w:val="28"/>
          <w:szCs w:val="28"/>
        </w:rPr>
        <w:br/>
        <w:t>— забезпечення покажчиками згідно з НАПБ А.01.001, ДСТУ ISO 6309 та ГОСТ 12.4.026;</w:t>
      </w:r>
      <w:r w:rsidRPr="00615EEA">
        <w:rPr>
          <w:sz w:val="28"/>
          <w:szCs w:val="28"/>
        </w:rPr>
        <w:br/>
        <w:t>Юридичні особи, яким на підставі права власності або іншого речового права належать джерела зовнішнього протипожежного водопостачання, в разі проведення ремонтних робіт, пов’язаних з відключенням водопровідних мереж, на яких розміщені ПГ, зобов’язані не пізніше ніж за добу до початку проведення таких робіт проінформувати пожежно-рятувальні підрозділи ДСНС України. Повідомлення має містити адресу та межі водопровідної ділянки, що відключається, час початку та закінчення ремонтних або інших регламентних робіт.</w:t>
      </w:r>
    </w:p>
    <w:p w:rsidR="00990A31" w:rsidRPr="008917AA" w:rsidRDefault="00881FCB" w:rsidP="008917AA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>Використовувати воду в будь-яких інших цілях з водних об’єктів, спеціально призначених для протипожежних потреб, забороняється.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b/>
          <w:sz w:val="28"/>
          <w:szCs w:val="28"/>
        </w:rPr>
      </w:pPr>
      <w:r w:rsidRPr="00615EEA">
        <w:rPr>
          <w:b/>
          <w:bCs/>
          <w:sz w:val="28"/>
          <w:szCs w:val="28"/>
        </w:rPr>
        <w:t>Перевірка технічного стану джерел зовнішнього протипожежного водопостачання</w:t>
      </w:r>
    </w:p>
    <w:p w:rsidR="00990A31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 xml:space="preserve">Проведення перевірок технічного стану джерел зовнішнього протипожежного водопостачання, у тому числі випробувань ПГ на водовіддачу в населених пунктах, покладається на пожежно-рятувальні підрозділи ДСНС України, а тих </w:t>
      </w:r>
    </w:p>
    <w:p w:rsidR="00990A31" w:rsidRDefault="00990A31" w:rsidP="00990A31">
      <w:pPr>
        <w:shd w:val="clear" w:color="auto" w:fill="FFFFFF"/>
        <w:suppressAutoHyphens/>
        <w:spacing w:after="240"/>
        <w:rPr>
          <w:sz w:val="28"/>
          <w:szCs w:val="28"/>
        </w:rPr>
      </w:pPr>
    </w:p>
    <w:p w:rsidR="00990A31" w:rsidRDefault="00990A31" w:rsidP="00990A31">
      <w:pPr>
        <w:shd w:val="clear" w:color="auto" w:fill="FFFFFF"/>
        <w:suppressAutoHyphens/>
        <w:spacing w:after="240"/>
        <w:rPr>
          <w:sz w:val="28"/>
          <w:szCs w:val="28"/>
        </w:rPr>
      </w:pP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ПГ, що знаходяться на території об’єктів, яким на підставі прав власності або іншого речового права належать пожежні гідранти, природні та штучні пожежні водоймища, градирні, водонапірні вежі – на керівників об’єктів або на відповідальних працівників цих об’єктів, визначених наказом керівника.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Перевірка технічного стану джерел зовнішнього протипожежного водопостачання у населених пунктах проводиться двічі на рік (у квітні — травні та вересні — жовтні) комісією у складі:</w:t>
      </w:r>
      <w:r w:rsidRPr="00615EEA">
        <w:rPr>
          <w:sz w:val="28"/>
          <w:szCs w:val="28"/>
        </w:rPr>
        <w:br/>
        <w:t>– представника чергових караулів (змін) пожежно-рятувальних підрозділів ДСНС України на закріпленій за караулом (зміною) дільниці із залученням представника підприємства питного водопостачання (для ПГ);</w:t>
      </w:r>
      <w:r w:rsidRPr="00615EEA">
        <w:rPr>
          <w:sz w:val="28"/>
          <w:szCs w:val="28"/>
        </w:rPr>
        <w:br/>
        <w:t>– представника місцевого органу виконавчої влади або органу місцевого самоврядування, або балансоутримувача (орендаря) (для інших джерел протипожежного водопостачання) та включає зовнішній огляд і перевірку з пуском (забором) води.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При проведенні зовнішнього огляду встановлюються наявність і стан під’їздів до джерела зовнішнього протипожежного водопостачання, а також наявність і стан покажчика джерела зовнішнього протипожежного водопостачання та відповідність координат, наведених на покажчику, дійсному розміщенню джерел зовнішнього протипожежного водопостачання.</w:t>
      </w:r>
    </w:p>
    <w:p w:rsidR="00881FCB" w:rsidRPr="00615EEA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  <w:shd w:val="clear" w:color="auto" w:fill="FFFFFF" w:themeFill="background1"/>
        </w:rPr>
        <w:t>Під час зовнішнього огляду джерел зовнішнього протипожежного водопостачання встановлюються:</w:t>
      </w:r>
      <w:r w:rsidRPr="00615EEA">
        <w:rPr>
          <w:sz w:val="28"/>
          <w:szCs w:val="28"/>
          <w:shd w:val="clear" w:color="auto" w:fill="FFFFFF" w:themeFill="background1"/>
        </w:rPr>
        <w:br/>
        <w:t>1. Для ПГ:</w:t>
      </w:r>
      <w:r w:rsidRPr="00615EEA">
        <w:rPr>
          <w:sz w:val="28"/>
          <w:szCs w:val="28"/>
          <w:shd w:val="clear" w:color="auto" w:fill="FFFFFF" w:themeFill="background1"/>
        </w:rPr>
        <w:br/>
        <w:t>— наявність і цілісність зовнішньої кришки колодязя ПГ;</w:t>
      </w:r>
      <w:r w:rsidRPr="00615EEA">
        <w:rPr>
          <w:sz w:val="28"/>
          <w:szCs w:val="28"/>
          <w:shd w:val="clear" w:color="auto" w:fill="FFFFFF" w:themeFill="background1"/>
        </w:rPr>
        <w:br/>
        <w:t>— наявність утеплення колодязя (під час перевірки у вересні — жовтні);</w:t>
      </w:r>
      <w:r w:rsidRPr="00615EEA">
        <w:rPr>
          <w:sz w:val="28"/>
          <w:szCs w:val="28"/>
          <w:shd w:val="clear" w:color="auto" w:fill="FFFFFF" w:themeFill="background1"/>
        </w:rPr>
        <w:br/>
        <w:t>— відсутність води в колодязі.</w:t>
      </w:r>
      <w:r w:rsidRPr="00615EEA">
        <w:rPr>
          <w:sz w:val="28"/>
          <w:szCs w:val="28"/>
          <w:shd w:val="clear" w:color="auto" w:fill="FFFFFF" w:themeFill="background1"/>
        </w:rPr>
        <w:br/>
        <w:t>2. Для природних та штучних пожежних водойм:</w:t>
      </w:r>
      <w:r w:rsidRPr="00615EEA">
        <w:rPr>
          <w:sz w:val="28"/>
          <w:szCs w:val="28"/>
          <w:shd w:val="clear" w:color="auto" w:fill="FFFFFF" w:themeFill="background1"/>
        </w:rPr>
        <w:br/>
        <w:t>— наявність води в необхідній кількості в місці, призначеному для опускання всмоктувальної лінії пожежно-рятувальної техніки, а також наявність води у приймальних колодязях (у разі їх наявності);</w:t>
      </w:r>
      <w:r w:rsidRPr="00615EEA">
        <w:rPr>
          <w:sz w:val="28"/>
          <w:szCs w:val="28"/>
          <w:shd w:val="clear" w:color="auto" w:fill="FFFFFF" w:themeFill="background1"/>
        </w:rPr>
        <w:br/>
        <w:t>— стан покриття пожежного пірса, наявність бокових відгороджень та упорного бордюру.</w:t>
      </w:r>
      <w:r w:rsidRPr="00615EEA">
        <w:rPr>
          <w:sz w:val="28"/>
          <w:szCs w:val="28"/>
          <w:shd w:val="clear" w:color="auto" w:fill="FFFFFF" w:themeFill="background1"/>
        </w:rPr>
        <w:br/>
        <w:t>3. Для водонапірних веж — наявність та справність пристрою для відбору води пожежно-рятувальною технікою.</w:t>
      </w:r>
      <w:r w:rsidRPr="00615EEA">
        <w:rPr>
          <w:sz w:val="28"/>
          <w:szCs w:val="28"/>
          <w:shd w:val="clear" w:color="auto" w:fill="FFFFFF" w:themeFill="background1"/>
        </w:rPr>
        <w:br/>
      </w:r>
      <w:r w:rsidRPr="00615EEA">
        <w:rPr>
          <w:sz w:val="28"/>
          <w:szCs w:val="28"/>
        </w:rPr>
        <w:t>4. Для градирень — можливість під’їзду до місць відбору води пожежно-рятувальною технікою.</w:t>
      </w:r>
    </w:p>
    <w:p w:rsidR="00990A31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Перевірка з пуском (забором) води проводиться один раз на рік (квітень — травень). Під час перевірки з пуском (забором) води для ПГ встановлюються:</w:t>
      </w:r>
      <w:r w:rsidRPr="00615EEA">
        <w:rPr>
          <w:sz w:val="28"/>
          <w:szCs w:val="28"/>
        </w:rPr>
        <w:br/>
        <w:t>— наявність води та розрахунковий тиск у водопровідній мережі шляхом почергового встановлення пожежної колонки на кожний ПГ;</w:t>
      </w:r>
      <w:r w:rsidRPr="00615EEA">
        <w:rPr>
          <w:sz w:val="28"/>
          <w:szCs w:val="28"/>
        </w:rPr>
        <w:br/>
        <w:t>— справність обладнання для пуску води з ПГ (пожежної колонки, запірної арматури та штока гідранта) та стан зливного отвору стояка ПГ;</w:t>
      </w:r>
      <w:r w:rsidRPr="00615EEA">
        <w:rPr>
          <w:sz w:val="28"/>
          <w:szCs w:val="28"/>
        </w:rPr>
        <w:br/>
        <w:t>— водовіддача водопровідної мережі шляхом підключення пожежно-</w:t>
      </w:r>
    </w:p>
    <w:p w:rsidR="00990A31" w:rsidRDefault="00990A31" w:rsidP="00990A31">
      <w:pPr>
        <w:shd w:val="clear" w:color="auto" w:fill="FFFFFF"/>
        <w:suppressAutoHyphens/>
        <w:spacing w:after="240"/>
        <w:rPr>
          <w:sz w:val="28"/>
          <w:szCs w:val="28"/>
        </w:rPr>
      </w:pPr>
    </w:p>
    <w:p w:rsidR="00990A31" w:rsidRDefault="00990A31" w:rsidP="00990A31">
      <w:pPr>
        <w:shd w:val="clear" w:color="auto" w:fill="FFFFFF"/>
        <w:suppressAutoHyphens/>
        <w:spacing w:after="240"/>
        <w:rPr>
          <w:sz w:val="28"/>
          <w:szCs w:val="28"/>
        </w:rPr>
      </w:pP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рятувальних автомобілів на ПГ та подачі води з пожежних стволів у кількості, необхідній для забезпечення розрахункової витрати води, до місця умовної пожежі під час проведення пожежно-тактичних навчань (занять) пожежно-рятувальних підрозділів ДСНС України зі складанням Акта перевірки водопровідної мережі на водовіддачу.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У разі невідповідності водопровідної мережі встановленим нормам копія Акта перевірки на водовіддачу направляється до Головного управління (Управління) ДСНС України за підпорядкованістю упродовж одного календарного дня після складання цього Акта.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Під час перевірки з пуском (забором) води для водойм, градирень і водонапірних веж встановлюється можливість відбору води у визначеному місці та подачі води пожежно-рятувальним автомобілем.</w:t>
      </w:r>
    </w:p>
    <w:p w:rsidR="00881FCB" w:rsidRPr="00615EEA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Після закінчення перевірки технічного стану ПГ, водойм, градирень і водонапірних веж представником пожежно-рятувального підрозділу ДСНС України заповнюється Журнал обліку перевірок, а в разі виявлення несправностей складається Акт виявлених несправностей.</w:t>
      </w:r>
    </w:p>
    <w:p w:rsidR="00881FCB" w:rsidRPr="00615EEA" w:rsidRDefault="00881FCB" w:rsidP="00990A31">
      <w:pPr>
        <w:shd w:val="clear" w:color="auto" w:fill="FFFFFF" w:themeFill="background1"/>
        <w:suppressAutoHyphens/>
        <w:rPr>
          <w:sz w:val="28"/>
          <w:szCs w:val="28"/>
        </w:rPr>
      </w:pPr>
      <w:r w:rsidRPr="00615EEA">
        <w:rPr>
          <w:sz w:val="28"/>
          <w:szCs w:val="28"/>
        </w:rPr>
        <w:t>Керівники об’єктів незалежно від форм власності зобов’язані не рідше двох разів на рік (у квітні — травні та у вересні — жовтні) проводити перевірку об’єктових джерел зовнішнього протипожежного водопостачання, розміщених на їх території, із залученням (за їх письмовим зверненням) пожежно-рятувальних підрозділів ДСНС України.</w:t>
      </w:r>
    </w:p>
    <w:p w:rsidR="00881FCB" w:rsidRDefault="00881FCB" w:rsidP="00990A31">
      <w:pPr>
        <w:shd w:val="clear" w:color="auto" w:fill="FFFFFF"/>
        <w:suppressAutoHyphens/>
        <w:spacing w:after="240"/>
        <w:rPr>
          <w:sz w:val="28"/>
          <w:szCs w:val="28"/>
        </w:rPr>
      </w:pPr>
      <w:r w:rsidRPr="00615EEA">
        <w:rPr>
          <w:sz w:val="28"/>
          <w:szCs w:val="28"/>
        </w:rPr>
        <w:t>Під час проведення перевірки технічного стану джерел зовнішнього протипожежного водопостачання пожежно-рятувальні підрозділи ДСНС України та відповідальні за утримання джерел зовнішнього протипожежного водопостачання на об’єктах, а також представники підприємства питного водопостачання повинні керуватися вимогами чинного законодавства з охорони праці.</w:t>
      </w:r>
    </w:p>
    <w:p w:rsidR="00881FCB" w:rsidRDefault="00881FCB" w:rsidP="00881FCB">
      <w:pPr>
        <w:shd w:val="clear" w:color="auto" w:fill="FFFFFF"/>
        <w:spacing w:after="240"/>
        <w:rPr>
          <w:sz w:val="28"/>
          <w:szCs w:val="28"/>
        </w:rPr>
      </w:pPr>
    </w:p>
    <w:p w:rsidR="00427E87" w:rsidRDefault="003D4104" w:rsidP="00881FCB">
      <w:pPr>
        <w:shd w:val="clear" w:color="auto" w:fill="FFFFFF"/>
        <w:spacing w:after="240"/>
      </w:pPr>
      <w:r>
        <w:rPr>
          <w:sz w:val="24"/>
          <w:szCs w:val="24"/>
        </w:rPr>
        <w:t>ОЗНАЙОМЛЕНІ</w:t>
      </w:r>
      <w:r w:rsidR="00881FCB" w:rsidRPr="003D4104">
        <w:t>:</w:t>
      </w:r>
    </w:p>
    <w:p w:rsidR="00881FCB" w:rsidRPr="003D4104" w:rsidRDefault="00881FCB" w:rsidP="00881FCB">
      <w:pPr>
        <w:shd w:val="clear" w:color="auto" w:fill="FFFFFF"/>
        <w:spacing w:after="240"/>
      </w:pPr>
      <w:r w:rsidRPr="003D4104">
        <w:t>_________________________________________</w:t>
      </w:r>
      <w:r w:rsidR="00427E87">
        <w:t>____________________________________________</w:t>
      </w:r>
      <w:r w:rsidRPr="003D4104">
        <w:t>_</w:t>
      </w:r>
    </w:p>
    <w:p w:rsidR="00881FCB" w:rsidRPr="003D4104" w:rsidRDefault="00881FCB" w:rsidP="003D4104">
      <w:r w:rsidRPr="003D4104">
        <w:t xml:space="preserve">                                          (особистий підпис) (прізвище, ініціали) (посада)   </w:t>
      </w:r>
    </w:p>
    <w:p w:rsidR="00881FCB" w:rsidRPr="003D4104" w:rsidRDefault="00881FCB" w:rsidP="00881FCB"/>
    <w:p w:rsidR="00881FCB" w:rsidRPr="003D4104" w:rsidRDefault="00881FCB" w:rsidP="00881FCB">
      <w:r w:rsidRPr="003D4104">
        <w:t xml:space="preserve">«    </w:t>
      </w:r>
      <w:r w:rsidR="00427E87">
        <w:t xml:space="preserve">    »_______________________202__</w:t>
      </w:r>
      <w:r w:rsidRPr="003D4104">
        <w:t>р.</w:t>
      </w:r>
    </w:p>
    <w:p w:rsidR="00881FCB" w:rsidRPr="003D4104" w:rsidRDefault="00881FCB" w:rsidP="00881FCB"/>
    <w:p w:rsidR="00881FCB" w:rsidRDefault="00881FCB" w:rsidP="00881FCB"/>
    <w:p w:rsidR="00881FCB" w:rsidRPr="009F3F32" w:rsidRDefault="00881FCB" w:rsidP="00881FCB"/>
    <w:p w:rsidR="000818A9" w:rsidRDefault="000818A9" w:rsidP="000818A9">
      <w:pPr>
        <w:rPr>
          <w:b/>
          <w:bCs/>
          <w:sz w:val="28"/>
          <w:szCs w:val="28"/>
        </w:rPr>
      </w:pPr>
    </w:p>
    <w:p w:rsidR="000818A9" w:rsidRDefault="000818A9" w:rsidP="000818A9">
      <w:pPr>
        <w:rPr>
          <w:b/>
          <w:bCs/>
          <w:sz w:val="28"/>
          <w:szCs w:val="28"/>
        </w:rPr>
      </w:pPr>
    </w:p>
    <w:p w:rsidR="004A2ACE" w:rsidRDefault="004A2ACE" w:rsidP="00605D91">
      <w:pPr>
        <w:rPr>
          <w:b/>
          <w:bCs/>
          <w:color w:val="000000"/>
          <w:sz w:val="28"/>
          <w:szCs w:val="28"/>
        </w:rPr>
      </w:pPr>
    </w:p>
    <w:p w:rsidR="005168B1" w:rsidRDefault="005168B1" w:rsidP="00605D91">
      <w:pPr>
        <w:rPr>
          <w:b/>
          <w:bCs/>
          <w:color w:val="000000"/>
          <w:sz w:val="28"/>
          <w:szCs w:val="28"/>
        </w:rPr>
      </w:pPr>
    </w:p>
    <w:bookmarkEnd w:id="0"/>
    <w:p w:rsidR="00D25A4E" w:rsidRPr="00870B69" w:rsidRDefault="00D25A4E">
      <w:pPr>
        <w:tabs>
          <w:tab w:val="left" w:pos="1000"/>
        </w:tabs>
        <w:rPr>
          <w:sz w:val="27"/>
          <w:szCs w:val="27"/>
        </w:rPr>
      </w:pPr>
    </w:p>
    <w:sectPr w:rsidR="00D25A4E" w:rsidRPr="00870B69" w:rsidSect="00D37BE8">
      <w:type w:val="continuous"/>
      <w:pgSz w:w="11906" w:h="16838" w:code="9"/>
      <w:pgMar w:top="142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30D93F9B"/>
    <w:multiLevelType w:val="hybridMultilevel"/>
    <w:tmpl w:val="0B3C469C"/>
    <w:lvl w:ilvl="0" w:tplc="BF4C7940">
      <w:start w:val="2"/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3746C"/>
    <w:rsid w:val="000509E4"/>
    <w:rsid w:val="000818A9"/>
    <w:rsid w:val="000876EC"/>
    <w:rsid w:val="00090BD6"/>
    <w:rsid w:val="000B3F4E"/>
    <w:rsid w:val="000B7B19"/>
    <w:rsid w:val="000E00E2"/>
    <w:rsid w:val="000E5571"/>
    <w:rsid w:val="00103515"/>
    <w:rsid w:val="00107BA5"/>
    <w:rsid w:val="001131CD"/>
    <w:rsid w:val="00120F11"/>
    <w:rsid w:val="00134664"/>
    <w:rsid w:val="00136D06"/>
    <w:rsid w:val="00147012"/>
    <w:rsid w:val="0014771F"/>
    <w:rsid w:val="00165AE8"/>
    <w:rsid w:val="00167C81"/>
    <w:rsid w:val="001705C3"/>
    <w:rsid w:val="0019208E"/>
    <w:rsid w:val="00196C8A"/>
    <w:rsid w:val="001A15CB"/>
    <w:rsid w:val="001B19BF"/>
    <w:rsid w:val="001B2CF7"/>
    <w:rsid w:val="00216BEC"/>
    <w:rsid w:val="00225B23"/>
    <w:rsid w:val="00230E81"/>
    <w:rsid w:val="0023306B"/>
    <w:rsid w:val="00262C0B"/>
    <w:rsid w:val="00274EC3"/>
    <w:rsid w:val="00283729"/>
    <w:rsid w:val="002917ED"/>
    <w:rsid w:val="00294C9D"/>
    <w:rsid w:val="002A0F5B"/>
    <w:rsid w:val="002A1C26"/>
    <w:rsid w:val="002A7C72"/>
    <w:rsid w:val="002B079D"/>
    <w:rsid w:val="002B6EF3"/>
    <w:rsid w:val="002C74A7"/>
    <w:rsid w:val="002D7724"/>
    <w:rsid w:val="002E16CF"/>
    <w:rsid w:val="00307EA2"/>
    <w:rsid w:val="00323750"/>
    <w:rsid w:val="00333052"/>
    <w:rsid w:val="00336613"/>
    <w:rsid w:val="00336C58"/>
    <w:rsid w:val="0033741A"/>
    <w:rsid w:val="0035210E"/>
    <w:rsid w:val="003538B7"/>
    <w:rsid w:val="00367A66"/>
    <w:rsid w:val="003A035F"/>
    <w:rsid w:val="003A4A4E"/>
    <w:rsid w:val="003D00C2"/>
    <w:rsid w:val="003D4104"/>
    <w:rsid w:val="003D7F27"/>
    <w:rsid w:val="00402D07"/>
    <w:rsid w:val="00420008"/>
    <w:rsid w:val="00427E87"/>
    <w:rsid w:val="00433838"/>
    <w:rsid w:val="004344B3"/>
    <w:rsid w:val="00435E34"/>
    <w:rsid w:val="00492416"/>
    <w:rsid w:val="004A0648"/>
    <w:rsid w:val="004A2ACE"/>
    <w:rsid w:val="004D1202"/>
    <w:rsid w:val="004D7E7C"/>
    <w:rsid w:val="004E6B80"/>
    <w:rsid w:val="004F51CC"/>
    <w:rsid w:val="004F6174"/>
    <w:rsid w:val="005168B1"/>
    <w:rsid w:val="00521AA7"/>
    <w:rsid w:val="00525394"/>
    <w:rsid w:val="005459D2"/>
    <w:rsid w:val="005956D9"/>
    <w:rsid w:val="005A5063"/>
    <w:rsid w:val="005A6FE7"/>
    <w:rsid w:val="005B2C79"/>
    <w:rsid w:val="005C3649"/>
    <w:rsid w:val="005C6179"/>
    <w:rsid w:val="005C6757"/>
    <w:rsid w:val="005C7CD7"/>
    <w:rsid w:val="005D7272"/>
    <w:rsid w:val="00605D91"/>
    <w:rsid w:val="00606BC1"/>
    <w:rsid w:val="00613BA3"/>
    <w:rsid w:val="00625066"/>
    <w:rsid w:val="006267F0"/>
    <w:rsid w:val="00654778"/>
    <w:rsid w:val="00680F52"/>
    <w:rsid w:val="00685844"/>
    <w:rsid w:val="00696D00"/>
    <w:rsid w:val="006A7801"/>
    <w:rsid w:val="006B58CF"/>
    <w:rsid w:val="006C2AB2"/>
    <w:rsid w:val="006E3D12"/>
    <w:rsid w:val="006F3820"/>
    <w:rsid w:val="006F3C0B"/>
    <w:rsid w:val="00703541"/>
    <w:rsid w:val="00712613"/>
    <w:rsid w:val="00715415"/>
    <w:rsid w:val="00720AD3"/>
    <w:rsid w:val="00721BFD"/>
    <w:rsid w:val="00742FC6"/>
    <w:rsid w:val="007536DD"/>
    <w:rsid w:val="00756744"/>
    <w:rsid w:val="00763746"/>
    <w:rsid w:val="007762C2"/>
    <w:rsid w:val="00790321"/>
    <w:rsid w:val="007B0EA1"/>
    <w:rsid w:val="007B1D6B"/>
    <w:rsid w:val="007B7B3E"/>
    <w:rsid w:val="007C209E"/>
    <w:rsid w:val="007D7A3E"/>
    <w:rsid w:val="007E63D2"/>
    <w:rsid w:val="008309ED"/>
    <w:rsid w:val="008605E5"/>
    <w:rsid w:val="00870B69"/>
    <w:rsid w:val="00877F70"/>
    <w:rsid w:val="00881FCB"/>
    <w:rsid w:val="008917AA"/>
    <w:rsid w:val="008C3E0F"/>
    <w:rsid w:val="008D0053"/>
    <w:rsid w:val="008D3737"/>
    <w:rsid w:val="008D4DFE"/>
    <w:rsid w:val="00911599"/>
    <w:rsid w:val="00914F5B"/>
    <w:rsid w:val="00916034"/>
    <w:rsid w:val="0091658F"/>
    <w:rsid w:val="009167CE"/>
    <w:rsid w:val="00923C6D"/>
    <w:rsid w:val="0092666B"/>
    <w:rsid w:val="009528B0"/>
    <w:rsid w:val="00971BD4"/>
    <w:rsid w:val="00974B39"/>
    <w:rsid w:val="00990A31"/>
    <w:rsid w:val="009A722B"/>
    <w:rsid w:val="009B603C"/>
    <w:rsid w:val="009C63E0"/>
    <w:rsid w:val="009C78E8"/>
    <w:rsid w:val="009D7EA0"/>
    <w:rsid w:val="00A018D8"/>
    <w:rsid w:val="00A36585"/>
    <w:rsid w:val="00A36F2D"/>
    <w:rsid w:val="00A6639C"/>
    <w:rsid w:val="00A72464"/>
    <w:rsid w:val="00A740A1"/>
    <w:rsid w:val="00A81D8E"/>
    <w:rsid w:val="00A84DDF"/>
    <w:rsid w:val="00AB396B"/>
    <w:rsid w:val="00AB75BD"/>
    <w:rsid w:val="00AC0301"/>
    <w:rsid w:val="00AC68FB"/>
    <w:rsid w:val="00AF2DD9"/>
    <w:rsid w:val="00B000C8"/>
    <w:rsid w:val="00B176E6"/>
    <w:rsid w:val="00B250E5"/>
    <w:rsid w:val="00B31518"/>
    <w:rsid w:val="00B51C40"/>
    <w:rsid w:val="00B81C78"/>
    <w:rsid w:val="00B84F1C"/>
    <w:rsid w:val="00BB2810"/>
    <w:rsid w:val="00BC70AA"/>
    <w:rsid w:val="00BD12C0"/>
    <w:rsid w:val="00BD6548"/>
    <w:rsid w:val="00BE7333"/>
    <w:rsid w:val="00C05520"/>
    <w:rsid w:val="00C12B84"/>
    <w:rsid w:val="00C144C1"/>
    <w:rsid w:val="00C14BC3"/>
    <w:rsid w:val="00C15E82"/>
    <w:rsid w:val="00C30F9B"/>
    <w:rsid w:val="00C46D4F"/>
    <w:rsid w:val="00C62313"/>
    <w:rsid w:val="00C75AF4"/>
    <w:rsid w:val="00C97695"/>
    <w:rsid w:val="00CE18FC"/>
    <w:rsid w:val="00CF1688"/>
    <w:rsid w:val="00D03F40"/>
    <w:rsid w:val="00D109B1"/>
    <w:rsid w:val="00D23FF2"/>
    <w:rsid w:val="00D25A4E"/>
    <w:rsid w:val="00D36F5C"/>
    <w:rsid w:val="00D37BE8"/>
    <w:rsid w:val="00D4245E"/>
    <w:rsid w:val="00D54060"/>
    <w:rsid w:val="00D60BF8"/>
    <w:rsid w:val="00D73EE7"/>
    <w:rsid w:val="00D839AA"/>
    <w:rsid w:val="00D9148D"/>
    <w:rsid w:val="00DA142B"/>
    <w:rsid w:val="00DA1456"/>
    <w:rsid w:val="00DC1442"/>
    <w:rsid w:val="00DC4A79"/>
    <w:rsid w:val="00DC4A7F"/>
    <w:rsid w:val="00DD1643"/>
    <w:rsid w:val="00DF0436"/>
    <w:rsid w:val="00DF141D"/>
    <w:rsid w:val="00DF2462"/>
    <w:rsid w:val="00DF38EB"/>
    <w:rsid w:val="00E0504D"/>
    <w:rsid w:val="00E250A8"/>
    <w:rsid w:val="00E26EEC"/>
    <w:rsid w:val="00E35A29"/>
    <w:rsid w:val="00E37AA6"/>
    <w:rsid w:val="00E453A6"/>
    <w:rsid w:val="00E7123A"/>
    <w:rsid w:val="00E80689"/>
    <w:rsid w:val="00E8162F"/>
    <w:rsid w:val="00E84D38"/>
    <w:rsid w:val="00E85FD5"/>
    <w:rsid w:val="00E93F97"/>
    <w:rsid w:val="00EB209B"/>
    <w:rsid w:val="00EC2010"/>
    <w:rsid w:val="00EE5B87"/>
    <w:rsid w:val="00F01188"/>
    <w:rsid w:val="00F02CC9"/>
    <w:rsid w:val="00F02FFD"/>
    <w:rsid w:val="00F16EE1"/>
    <w:rsid w:val="00F34F40"/>
    <w:rsid w:val="00F3528A"/>
    <w:rsid w:val="00F63E03"/>
    <w:rsid w:val="00F75F8E"/>
    <w:rsid w:val="00F92605"/>
    <w:rsid w:val="00FA32E2"/>
    <w:rsid w:val="00FA343E"/>
    <w:rsid w:val="00FA54AF"/>
    <w:rsid w:val="00FC45FB"/>
    <w:rsid w:val="00FD6353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List Paragraph"/>
    <w:basedOn w:val="a"/>
    <w:uiPriority w:val="99"/>
    <w:qFormat/>
    <w:rsid w:val="00336C58"/>
    <w:pPr>
      <w:ind w:left="720"/>
      <w:contextualSpacing/>
    </w:pPr>
  </w:style>
  <w:style w:type="paragraph" w:styleId="a9">
    <w:name w:val="No Spacing"/>
    <w:basedOn w:val="a"/>
    <w:uiPriority w:val="1"/>
    <w:qFormat/>
    <w:rsid w:val="000818A9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10">
    <w:name w:val="Без интервала1"/>
    <w:rsid w:val="00336613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E6F989-4780-4AA7-8259-75C0F8A1D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2073</Words>
  <Characters>11820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13866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8</cp:revision>
  <cp:lastPrinted>2024-05-20T09:34:00Z</cp:lastPrinted>
  <dcterms:created xsi:type="dcterms:W3CDTF">2024-05-20T07:18:00Z</dcterms:created>
  <dcterms:modified xsi:type="dcterms:W3CDTF">2024-06-10T13:08:00Z</dcterms:modified>
</cp:coreProperties>
</file>