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CB5365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17</w:t>
      </w:r>
      <w:r w:rsidR="00875E9E" w:rsidRPr="00875E9E">
        <w:rPr>
          <w:b/>
          <w:sz w:val="28"/>
          <w:szCs w:val="28"/>
          <w:lang w:val="ru-RU"/>
        </w:rPr>
        <w:t xml:space="preserve"> </w:t>
      </w:r>
      <w:r w:rsidR="00875E9E">
        <w:rPr>
          <w:b/>
          <w:sz w:val="28"/>
          <w:szCs w:val="28"/>
        </w:rPr>
        <w:t>липня</w:t>
      </w:r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  <w:lang w:val="ru-RU"/>
        </w:rPr>
        <w:t>88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Про  підготовку закладів освіти</w:t>
      </w:r>
    </w:p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</w:t>
      </w:r>
    </w:p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нового 2023-2024 навчального року</w:t>
      </w:r>
    </w:p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</w:p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освіту», Закону України «Про повну заг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льну середню освіту», Закону України «Про дошкільну освіту», вимог статті 20 Кодексу цивільного захисту України, Національної стратегії розбудови безпе</w:t>
      </w:r>
      <w:r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ного і здорового освітнього середовища у новій українській школі,, схваленої Указом Президента України від 25 травня 2020 року №195\2020, Плану заходів на 2017-2029 роки із запровадження  Концепції реалізації державної політики у сфері реформування загальної середньої освіти «Нова українська школа», з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твердженого розпорядженням Кабінету Міністрів України від 13.12.2017 №903-р, Концепції безпеки закладів освіти, схваленої розпорядженням Кабінету Мін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стрів України від 07 квітня 2023 року №301-р, листа Міністерства освіти і на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ки України від 17.05.2023 року №1\6990-23 «Про підготовку закладів освіти до нового навчального року та проходження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осінньо</w:t>
      </w:r>
      <w:proofErr w:type="spellEnd"/>
      <w:r w:rsidR="00CB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зимового періоду 2023\2024 року»</w:t>
      </w:r>
      <w:r w:rsidR="00CB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Регіонального плану заходів щодо реалізації Концепції безпеки у закл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дах освіти Одеської області на 2023-2025 роки, затвердженого розпорядженням Одеської обласної</w:t>
      </w:r>
      <w:r w:rsidR="00CB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\ військової адміністрації від 10.05.2023 року №269\Ф- 2023, розпорядження голови Одеської обласної державної адміністрації від 09.06.2023 року№313\А-2023 «Про підготовку закладів освіти</w:t>
      </w:r>
      <w:r w:rsidR="00CB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Одеської області до початку 2023\2024 навчального року»,  наказу Департаменту освіти і науки Одеської обласної державної адміністрації №112-ОД від 23.06.2023 року «Про підготовку закладів освіти Одеської області до початку 2023\2024 навчального року,розпорядження Болградської районної \ державної адміністрації «Про пі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готовку закладів освіти Болградського району до початку 2023-2024 навчальн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го року», №105\А- 2023 від 26.06.2023 року,</w:t>
      </w:r>
    </w:p>
    <w:p w:rsidR="00641989" w:rsidRDefault="00641989" w:rsidP="00641989">
      <w:pPr>
        <w:pStyle w:val="a9"/>
        <w:rPr>
          <w:rFonts w:ascii="Times New Roman" w:hAnsi="Times New Roman"/>
          <w:b/>
          <w:sz w:val="28"/>
          <w:szCs w:val="28"/>
          <w:lang w:val="uk-UA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Начальнику відділу освіти  сільської ради</w:t>
      </w:r>
      <w:r w:rsidR="00CB5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КІРЧУК Марії Василівні: </w:t>
      </w:r>
    </w:p>
    <w:p w:rsidR="00CB5365" w:rsidRDefault="00CB5365" w:rsidP="00641989">
      <w:pPr>
        <w:jc w:val="both"/>
        <w:rPr>
          <w:sz w:val="28"/>
          <w:szCs w:val="28"/>
        </w:rPr>
      </w:pPr>
    </w:p>
    <w:p w:rsidR="00CB5365" w:rsidRDefault="00CB5365" w:rsidP="00641989">
      <w:pPr>
        <w:jc w:val="both"/>
        <w:rPr>
          <w:sz w:val="28"/>
          <w:szCs w:val="28"/>
        </w:rPr>
      </w:pPr>
    </w:p>
    <w:p w:rsidR="00CB5365" w:rsidRDefault="00CB5365" w:rsidP="00641989">
      <w:pPr>
        <w:jc w:val="both"/>
        <w:rPr>
          <w:sz w:val="28"/>
          <w:szCs w:val="28"/>
        </w:rPr>
      </w:pPr>
    </w:p>
    <w:p w:rsidR="00CB5365" w:rsidRDefault="00CB5365" w:rsidP="00641989">
      <w:pPr>
        <w:jc w:val="both"/>
        <w:rPr>
          <w:sz w:val="28"/>
          <w:szCs w:val="28"/>
        </w:rPr>
      </w:pPr>
    </w:p>
    <w:p w:rsidR="00205EC1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Вжити вичерпних заходів щодо: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належних безпечних та нешкідливих умов навчання, утримання і праці учасників освітнього процесу в умовах воєнного стану;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забезпечення функціонування та обладнання наявного фонду захисних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 цивільного захисту у відповідності до чинних стандартів, правил та норм, що є у закладах освіти;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розгляд комісією з огляду (оцінки) будівель (споруд, приміщень), що план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ються використовуватися для укриття учасників освітнього процесу та обст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ження приміщень, будівель і споруд різного призначення, що розташовані у безпосередній близькості до місця знаходження закладу освіти, для встано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лення можливості їх використання для укриття учасників освітнього процесу, до складу якої залучити представників Національної поліції, ДСГІС, медичних закладів;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визначення та позначення маршрутів руху від закладів освіти до захисних споруд цивільного захисту з урахуванням потреб осіб з особливими освітніми потребами;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проведення у закладах освіти занять з питань пожежної безпеки, запобігання ризикам, пов'язаним з вибухонебезпечними чи підозрілими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метами, правил поведінки з ними, практичних тренувань щодо дій у разі 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лошення сигналу «Повітряна тривога», загрози виникнення надзвичайної сит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ації, пожежі, терористичного акту;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запровадження об'єктових систем оповіщення із практичним запуском сигн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льно – гучномовних  пристроїв (сирен), електронних інформаційних табло та інших технічних засобів;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дооснащення</w:t>
      </w:r>
      <w:proofErr w:type="spellEnd"/>
      <w:r>
        <w:rPr>
          <w:sz w:val="28"/>
          <w:szCs w:val="28"/>
        </w:rPr>
        <w:t xml:space="preserve"> захисних споруд цивільного захисту питною водою, медикаме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тами, засобами індивідуального захисту учасників освітнього процесу, необхі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ним інвентарем;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організації електропостачання, альтернативних джерел живлення, підключе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ня до мережі </w:t>
      </w:r>
      <w:proofErr w:type="spellStart"/>
      <w:r>
        <w:rPr>
          <w:sz w:val="28"/>
          <w:szCs w:val="28"/>
        </w:rPr>
        <w:t>інтернету</w:t>
      </w:r>
      <w:proofErr w:type="spellEnd"/>
      <w:r>
        <w:rPr>
          <w:sz w:val="28"/>
          <w:szCs w:val="28"/>
        </w:rPr>
        <w:t xml:space="preserve">, водопостачання, водовідведення, </w:t>
      </w:r>
      <w:proofErr w:type="spellStart"/>
      <w:r>
        <w:rPr>
          <w:sz w:val="28"/>
          <w:szCs w:val="28"/>
        </w:rPr>
        <w:t>біотуалетів</w:t>
      </w:r>
      <w:proofErr w:type="spellEnd"/>
      <w:r>
        <w:rPr>
          <w:sz w:val="28"/>
          <w:szCs w:val="28"/>
        </w:rPr>
        <w:t xml:space="preserve"> у захи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них спорудах цивільного захисту;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умов щодо організації якісного та безпечного харчування здобув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чів освіти у закладах освіти; обов'язкового підвезення дітей до закладів загал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ної середньої освіти та у зворотному напрямку шкільними автобусами за рах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нок коштів місцевого бюджету, переглянути та затвердити безпечні маршрути руху шкільних автобусів;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технічних можливостей для використання учнями та педагогічними працівниками різних форм організації освітнього процесу, зокрема електронних освітніх сервісів (е-журнал, е- щоденники), освітніх платформ Міністерства освіти і науки України, що сприятиме забезпеченню запитів усіх здобувачів освіти на надання освітніх послуг у закладах освіти; -  своєчасної доставки пі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ручників до закладів загальної середньої освіти;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комплектування закладів дошкільної, загальної середньої  освіти з урахува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ням запитів на надання освітніх послуг для здобувачів освіти та педагогічних працівників з числа внутрішньо переміщених осіб;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проведення необхідних видів ремонтних робіт у закладах освіти з метою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перебійного функціонування впродовж навчального року та осінньо-зимового періоду 2023-2024 року;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запровадження в умовах воєнного стану охорони закладів освіти, встановле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 систем відео спостереження та пультів охорони (тривожна кнопка) па вип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док виникнення надзвичайної ситуації в закладах повної загальної середньої освіти;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оптимізації мережі закладів освіти та приведення їх типів та найменувань у відповідність до вимог законодавства; - стовідсоткового охоплення різними 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рмами здобуття повної загальної середньої освіти дітей шкільного віку.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5EC1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створення умов щодо організації якісного та безпечного харчування здобув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чів освіти у закладах освіти;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1.2. До 10</w:t>
      </w:r>
      <w:r w:rsidR="00205EC1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 2023 року перевірити стан готовності закладів освіти до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2023-2024 навчального року, про що інформувати педагогічних працівників та громадськість.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1.3. До 12 серпня 2023 року інформувати Теплицьку сільську раду та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 освіти і науки Одеської обласної державної адміністрації про стан 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ності закладів освіти до початку нового навчального року. 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2. Фінансовому відділу Теплицької сільської ради розглянути можливість ф</w:t>
      </w:r>
      <w:r>
        <w:rPr>
          <w:sz w:val="28"/>
          <w:szCs w:val="28"/>
        </w:rPr>
        <w:t>і</w:t>
      </w:r>
      <w:r>
        <w:rPr>
          <w:sz w:val="28"/>
          <w:szCs w:val="28"/>
        </w:rPr>
        <w:t>нансування заходів, необхідних для підготовки закладів освіти Теплицької сіл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ської ради до початку 2023-2024 навчального року.</w:t>
      </w:r>
    </w:p>
    <w:p w:rsidR="00641989" w:rsidRDefault="00641989" w:rsidP="00641989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розпорядження залишаю за собою.</w:t>
      </w:r>
    </w:p>
    <w:p w:rsidR="00641989" w:rsidRDefault="00641989" w:rsidP="00641989">
      <w:pPr>
        <w:jc w:val="both"/>
        <w:rPr>
          <w:sz w:val="28"/>
          <w:szCs w:val="28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Іван  ЛЕОНТЬЄВ</w:t>
      </w:r>
    </w:p>
    <w:p w:rsidR="00641989" w:rsidRDefault="00641989" w:rsidP="00641989">
      <w:pPr>
        <w:rPr>
          <w:b/>
          <w:sz w:val="32"/>
          <w:szCs w:val="24"/>
        </w:rPr>
      </w:pPr>
    </w:p>
    <w:p w:rsidR="00641989" w:rsidRDefault="00641989" w:rsidP="00641989">
      <w:pPr>
        <w:rPr>
          <w:b/>
          <w:sz w:val="32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rPr>
          <w:sz w:val="28"/>
          <w:szCs w:val="28"/>
        </w:rPr>
      </w:pPr>
    </w:p>
    <w:p w:rsidR="00641989" w:rsidRDefault="00641989" w:rsidP="00641989">
      <w:pPr>
        <w:rPr>
          <w:sz w:val="28"/>
          <w:szCs w:val="28"/>
        </w:rPr>
      </w:pPr>
    </w:p>
    <w:bookmarkEnd w:id="0"/>
    <w:p w:rsidR="00120F11" w:rsidRDefault="00120F1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205EC1" w:rsidRDefault="00205EC1">
      <w:pPr>
        <w:rPr>
          <w:b/>
          <w:bCs/>
          <w:sz w:val="28"/>
          <w:szCs w:val="28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4057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05EC1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41989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1705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9D1438"/>
    <w:rsid w:val="009D146A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50E5"/>
    <w:rsid w:val="00B51C40"/>
    <w:rsid w:val="00BC70AA"/>
    <w:rsid w:val="00BD79D6"/>
    <w:rsid w:val="00BE7333"/>
    <w:rsid w:val="00C144C1"/>
    <w:rsid w:val="00C14BC3"/>
    <w:rsid w:val="00C15E82"/>
    <w:rsid w:val="00C30F9B"/>
    <w:rsid w:val="00C46D4F"/>
    <w:rsid w:val="00C62313"/>
    <w:rsid w:val="00C75AF4"/>
    <w:rsid w:val="00CB5365"/>
    <w:rsid w:val="00CC1CD5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 Spacing"/>
    <w:uiPriority w:val="1"/>
    <w:qFormat/>
    <w:rsid w:val="00641989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2023-07-17T09:28:00Z</cp:lastPrinted>
  <dcterms:created xsi:type="dcterms:W3CDTF">2023-07-17T09:24:00Z</dcterms:created>
  <dcterms:modified xsi:type="dcterms:W3CDTF">2023-07-17T12:25:00Z</dcterms:modified>
</cp:coreProperties>
</file>